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宋体"/>
          <w:b/>
          <w:bCs/>
          <w:kern w:val="0"/>
          <w:sz w:val="32"/>
          <w:szCs w:val="32"/>
        </w:rPr>
      </w:pPr>
      <w:r>
        <w:rPr>
          <w:rFonts w:hint="eastAsia" w:ascii="微软雅黑" w:hAnsi="微软雅黑" w:eastAsia="微软雅黑" w:cs="宋体"/>
          <w:b/>
          <w:bCs/>
          <w:kern w:val="0"/>
          <w:sz w:val="32"/>
          <w:szCs w:val="32"/>
        </w:rPr>
        <w:t>厦门翔业集团有限公司</w:t>
      </w:r>
      <w:r>
        <w:rPr>
          <w:rFonts w:ascii="微软雅黑" w:hAnsi="微软雅黑" w:eastAsia="微软雅黑" w:cs="宋体"/>
          <w:b/>
          <w:bCs/>
          <w:kern w:val="0"/>
          <w:sz w:val="32"/>
          <w:szCs w:val="32"/>
        </w:rPr>
        <w:t>202</w:t>
      </w:r>
      <w:r>
        <w:rPr>
          <w:rFonts w:hint="eastAsia" w:ascii="微软雅黑" w:hAnsi="微软雅黑" w:eastAsia="微软雅黑" w:cs="宋体"/>
          <w:b/>
          <w:bCs/>
          <w:kern w:val="0"/>
          <w:sz w:val="32"/>
          <w:szCs w:val="32"/>
          <w:lang w:val="en-US" w:eastAsia="zh-CN"/>
        </w:rPr>
        <w:t>3</w:t>
      </w:r>
      <w:r>
        <w:rPr>
          <w:rFonts w:hint="eastAsia" w:ascii="微软雅黑" w:hAnsi="微软雅黑" w:eastAsia="微软雅黑" w:cs="宋体"/>
          <w:b/>
          <w:bCs/>
          <w:kern w:val="0"/>
          <w:sz w:val="32"/>
          <w:szCs w:val="32"/>
        </w:rPr>
        <w:t>年建设工程</w:t>
      </w:r>
    </w:p>
    <w:p>
      <w:pPr>
        <w:jc w:val="center"/>
        <w:rPr>
          <w:rFonts w:hint="eastAsia" w:ascii="微软雅黑" w:hAnsi="微软雅黑" w:eastAsia="微软雅黑" w:cs="宋体"/>
          <w:b/>
          <w:bCs/>
          <w:kern w:val="0"/>
          <w:sz w:val="32"/>
          <w:szCs w:val="32"/>
        </w:rPr>
      </w:pPr>
      <w:r>
        <w:rPr>
          <w:rFonts w:hint="eastAsia" w:ascii="微软雅黑" w:hAnsi="微软雅黑" w:eastAsia="微软雅黑" w:cs="宋体"/>
          <w:b/>
          <w:bCs/>
          <w:kern w:val="0"/>
          <w:sz w:val="32"/>
          <w:szCs w:val="32"/>
        </w:rPr>
        <w:t>机场类品牌库品牌征集公告</w:t>
      </w:r>
    </w:p>
    <w:p>
      <w:pPr>
        <w:widowControl/>
        <w:shd w:val="clear" w:color="auto" w:fill="FFFFFF"/>
        <w:spacing w:line="450" w:lineRule="atLeast"/>
        <w:ind w:firstLine="480"/>
        <w:jc w:val="center"/>
        <w:rPr>
          <w:rFonts w:ascii="微软雅黑" w:hAnsi="微软雅黑" w:eastAsia="微软雅黑" w:cs="宋体"/>
          <w:b/>
          <w:kern w:val="0"/>
          <w:sz w:val="32"/>
          <w:szCs w:val="32"/>
        </w:rPr>
      </w:pPr>
    </w:p>
    <w:p>
      <w:pPr>
        <w:widowControl/>
        <w:shd w:val="clear" w:color="auto" w:fill="FFFFFF"/>
        <w:spacing w:line="450" w:lineRule="atLeast"/>
        <w:ind w:firstLine="480"/>
        <w:jc w:val="left"/>
        <w:rPr>
          <w:rFonts w:hint="eastAsia" w:ascii="微软雅黑" w:hAnsi="微软雅黑" w:eastAsia="微软雅黑" w:cs="宋体"/>
          <w:bCs/>
          <w:kern w:val="0"/>
          <w:sz w:val="24"/>
          <w:szCs w:val="24"/>
        </w:rPr>
      </w:pPr>
      <w:r>
        <w:rPr>
          <w:rFonts w:hint="eastAsia" w:ascii="微软雅黑" w:hAnsi="微软雅黑" w:eastAsia="微软雅黑" w:cs="宋体"/>
          <w:bCs/>
          <w:kern w:val="0"/>
          <w:sz w:val="24"/>
          <w:szCs w:val="24"/>
        </w:rPr>
        <w:t>厦门翔业集团有限公司拟就20</w:t>
      </w:r>
      <w:r>
        <w:rPr>
          <w:rFonts w:hint="eastAsia" w:ascii="微软雅黑" w:hAnsi="微软雅黑" w:eastAsia="微软雅黑" w:cs="宋体"/>
          <w:bCs/>
          <w:kern w:val="0"/>
          <w:sz w:val="24"/>
          <w:szCs w:val="24"/>
          <w:lang w:val="en-US" w:eastAsia="zh-CN"/>
        </w:rPr>
        <w:t>23</w:t>
      </w:r>
      <w:r>
        <w:rPr>
          <w:rFonts w:hint="eastAsia" w:ascii="微软雅黑" w:hAnsi="微软雅黑" w:eastAsia="微软雅黑" w:cs="宋体"/>
          <w:bCs/>
          <w:kern w:val="0"/>
          <w:sz w:val="24"/>
          <w:szCs w:val="24"/>
        </w:rPr>
        <w:t>年建设工程机场类品牌库相关材料、设备品牌进行入库征集，现就有关事项公告如下。</w:t>
      </w:r>
    </w:p>
    <w:p>
      <w:pPr>
        <w:widowControl/>
        <w:shd w:val="clear" w:color="auto" w:fill="FFFFFF"/>
        <w:spacing w:line="450" w:lineRule="atLeast"/>
        <w:ind w:left="360" w:hanging="360"/>
        <w:jc w:val="left"/>
        <w:rPr>
          <w:rFonts w:ascii="微软雅黑" w:hAnsi="微软雅黑" w:eastAsia="微软雅黑" w:cs="宋体"/>
          <w:kern w:val="0"/>
          <w:sz w:val="24"/>
          <w:szCs w:val="24"/>
        </w:rPr>
      </w:pPr>
      <w:r>
        <w:rPr>
          <w:rFonts w:hint="eastAsia" w:ascii="微软雅黑" w:hAnsi="微软雅黑" w:eastAsia="微软雅黑" w:cs="宋体"/>
          <w:b/>
          <w:bCs/>
          <w:kern w:val="0"/>
          <w:sz w:val="24"/>
          <w:szCs w:val="24"/>
        </w:rPr>
        <w:t>1  品牌征集适用范围及主要内容</w:t>
      </w:r>
      <w:bookmarkStart w:id="0" w:name="_GoBack"/>
      <w:bookmarkEnd w:id="0"/>
    </w:p>
    <w:p>
      <w:pPr>
        <w:widowControl/>
        <w:shd w:val="clear" w:color="auto" w:fill="FFFFFF"/>
        <w:spacing w:line="450" w:lineRule="atLeast"/>
        <w:ind w:left="360"/>
        <w:jc w:val="left"/>
        <w:rPr>
          <w:rFonts w:ascii="微软雅黑" w:hAnsi="微软雅黑" w:eastAsia="微软雅黑" w:cs="宋体"/>
          <w:kern w:val="0"/>
          <w:sz w:val="24"/>
          <w:szCs w:val="24"/>
        </w:rPr>
      </w:pPr>
      <w:r>
        <w:rPr>
          <w:rFonts w:hint="eastAsia" w:ascii="微软雅黑" w:hAnsi="微软雅黑" w:eastAsia="微软雅黑" w:cs="宋体"/>
          <w:kern w:val="0"/>
          <w:sz w:val="24"/>
          <w:szCs w:val="24"/>
        </w:rPr>
        <w:t>1.1适用范围</w:t>
      </w:r>
    </w:p>
    <w:p>
      <w:pPr>
        <w:widowControl/>
        <w:shd w:val="clear" w:color="auto" w:fill="FFFFFF"/>
        <w:spacing w:line="450" w:lineRule="atLeast"/>
        <w:ind w:firstLine="480"/>
        <w:jc w:val="left"/>
        <w:rPr>
          <w:rFonts w:ascii="微软雅黑" w:hAnsi="微软雅黑" w:eastAsia="微软雅黑" w:cs="宋体"/>
          <w:bCs/>
          <w:kern w:val="0"/>
          <w:sz w:val="24"/>
          <w:szCs w:val="24"/>
        </w:rPr>
      </w:pPr>
      <w:r>
        <w:rPr>
          <w:rFonts w:hint="eastAsia" w:ascii="微软雅黑" w:hAnsi="微软雅黑" w:eastAsia="微软雅黑" w:cs="宋体"/>
          <w:bCs/>
          <w:kern w:val="0"/>
          <w:sz w:val="24"/>
          <w:szCs w:val="24"/>
        </w:rPr>
        <w:t>本次符合征集品类要求的申请入库品牌，经厦门翔业集团有限公司组织评审审批通过的，将具备进入厦门翔业集团</w:t>
      </w:r>
      <w:r>
        <w:rPr>
          <w:rFonts w:hint="eastAsia" w:ascii="微软雅黑" w:hAnsi="微软雅黑" w:eastAsia="微软雅黑" w:cs="宋体"/>
          <w:bCs/>
          <w:kern w:val="0"/>
          <w:sz w:val="24"/>
          <w:szCs w:val="24"/>
          <w:lang w:val="en-US" w:eastAsia="zh-CN"/>
        </w:rPr>
        <w:t>机场类</w:t>
      </w:r>
      <w:r>
        <w:rPr>
          <w:rFonts w:hint="eastAsia" w:ascii="微软雅黑" w:hAnsi="微软雅黑" w:eastAsia="微软雅黑" w:cs="宋体"/>
          <w:bCs/>
          <w:kern w:val="0"/>
          <w:sz w:val="24"/>
          <w:szCs w:val="24"/>
        </w:rPr>
        <w:t>品牌库的资格。</w:t>
      </w:r>
    </w:p>
    <w:p>
      <w:pPr>
        <w:widowControl/>
        <w:shd w:val="clear" w:color="auto" w:fill="FFFFFF"/>
        <w:spacing w:line="450" w:lineRule="atLeast"/>
        <w:ind w:left="360"/>
        <w:jc w:val="left"/>
        <w:rPr>
          <w:rFonts w:hint="eastAsia" w:ascii="微软雅黑" w:hAnsi="微软雅黑" w:eastAsia="微软雅黑" w:cs="宋体"/>
          <w:kern w:val="0"/>
          <w:sz w:val="24"/>
          <w:szCs w:val="24"/>
        </w:rPr>
      </w:pPr>
      <w:r>
        <w:rPr>
          <w:rFonts w:hint="eastAsia" w:ascii="微软雅黑" w:hAnsi="微软雅黑" w:eastAsia="微软雅黑" w:cs="宋体"/>
          <w:kern w:val="0"/>
          <w:sz w:val="24"/>
          <w:szCs w:val="24"/>
        </w:rPr>
        <w:t>1.2本期征集评审的品类如下：</w:t>
      </w:r>
    </w:p>
    <w:tbl>
      <w:tblPr>
        <w:tblStyle w:val="7"/>
        <w:tblW w:w="998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7"/>
        <w:gridCol w:w="3133"/>
        <w:gridCol w:w="2750"/>
        <w:gridCol w:w="29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3" w:hRule="atLeast"/>
          <w:jc w:val="center"/>
        </w:trPr>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专业</w:t>
            </w: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微软雅黑" w:hAnsi="微软雅黑" w:eastAsia="微软雅黑" w:cs="宋体"/>
                <w:kern w:val="0"/>
                <w:sz w:val="24"/>
                <w:szCs w:val="24"/>
              </w:rPr>
              <w:t>本期征集的品类</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eastAsia="zh-CN"/>
              </w:rPr>
            </w:pPr>
            <w:r>
              <w:rPr>
                <w:rFonts w:hint="eastAsia" w:ascii="微软雅黑" w:hAnsi="微软雅黑" w:eastAsia="微软雅黑" w:cs="宋体"/>
                <w:kern w:val="0"/>
                <w:sz w:val="24"/>
                <w:szCs w:val="24"/>
                <w:lang w:val="en-US" w:eastAsia="zh-CN"/>
              </w:rPr>
              <w:t>征集概述</w:t>
            </w:r>
          </w:p>
        </w:tc>
        <w:tc>
          <w:tcPr>
            <w:tcW w:w="298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微软雅黑" w:hAnsi="微软雅黑" w:eastAsia="微软雅黑" w:cs="宋体"/>
                <w:kern w:val="0"/>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弱</w:t>
            </w:r>
            <w:r>
              <w:rPr>
                <w:rFonts w:hint="eastAsia" w:ascii="宋体" w:hAnsi="宋体" w:cs="宋体"/>
                <w:b w:val="0"/>
                <w:bCs w:val="0"/>
                <w:i w:val="0"/>
                <w:iCs w:val="0"/>
                <w:color w:val="000000"/>
                <w:kern w:val="0"/>
                <w:sz w:val="22"/>
                <w:szCs w:val="22"/>
                <w:u w:val="none"/>
                <w:lang w:val="en-US" w:eastAsia="zh-CN" w:bidi="ar"/>
              </w:rPr>
              <w:t>电</w:t>
            </w:r>
            <w:r>
              <w:rPr>
                <w:rFonts w:hint="eastAsia" w:ascii="宋体" w:hAnsi="宋体" w:eastAsia="宋体" w:cs="宋体"/>
                <w:b w:val="0"/>
                <w:bCs w:val="0"/>
                <w:i w:val="0"/>
                <w:iCs w:val="0"/>
                <w:color w:val="000000"/>
                <w:kern w:val="0"/>
                <w:sz w:val="22"/>
                <w:szCs w:val="22"/>
                <w:u w:val="none"/>
                <w:lang w:val="en-US" w:eastAsia="zh-CN" w:bidi="ar"/>
              </w:rPr>
              <w:t>专业</w:t>
            </w: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液晶显示屏</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w:t>
            </w:r>
          </w:p>
        </w:tc>
        <w:tc>
          <w:tcPr>
            <w:tcW w:w="2984" w:type="dxa"/>
            <w:vMerge w:val="restart"/>
            <w:tcBorders>
              <w:top w:val="single" w:color="000000" w:sz="4" w:space="0"/>
              <w:left w:val="single" w:color="auto" w:sz="4" w:space="0"/>
              <w:right w:val="single" w:color="000000" w:sz="4" w:space="0"/>
            </w:tcBorders>
            <w:shd w:val="clear" w:color="auto" w:fill="auto"/>
            <w:vAlign w:val="center"/>
          </w:tcPr>
          <w:p>
            <w:pPr>
              <w:widowControl/>
              <w:jc w:val="left"/>
              <w:rPr>
                <w:rFonts w:hint="eastAsia" w:ascii="微软雅黑" w:hAnsi="微软雅黑" w:eastAsia="微软雅黑" w:cs="宋体"/>
                <w:kern w:val="0"/>
                <w:sz w:val="22"/>
                <w:szCs w:val="22"/>
              </w:rPr>
            </w:pPr>
            <w:r>
              <w:rPr>
                <w:rFonts w:hint="eastAsia" w:ascii="微软雅黑" w:hAnsi="微软雅黑" w:eastAsia="微软雅黑" w:cs="宋体"/>
                <w:kern w:val="0"/>
                <w:sz w:val="22"/>
                <w:szCs w:val="22"/>
                <w:lang w:val="en-US" w:eastAsia="zh-CN"/>
              </w:rPr>
              <w:t>一、</w:t>
            </w:r>
            <w:r>
              <w:rPr>
                <w:rFonts w:hint="eastAsia" w:ascii="微软雅黑" w:hAnsi="微软雅黑" w:eastAsia="微软雅黑" w:cs="宋体"/>
                <w:kern w:val="0"/>
                <w:sz w:val="22"/>
                <w:szCs w:val="22"/>
              </w:rPr>
              <w:t xml:space="preserve">如遇以下两种情形，我司不予接收递交资料：     </w:t>
            </w:r>
          </w:p>
          <w:p>
            <w:pPr>
              <w:widowControl/>
              <w:jc w:val="left"/>
              <w:rPr>
                <w:rFonts w:ascii="微软雅黑" w:hAnsi="微软雅黑" w:eastAsia="微软雅黑" w:cs="宋体"/>
                <w:kern w:val="0"/>
                <w:sz w:val="22"/>
                <w:szCs w:val="22"/>
              </w:rPr>
            </w:pPr>
            <w:r>
              <w:rPr>
                <w:rFonts w:hint="eastAsia" w:ascii="微软雅黑" w:hAnsi="微软雅黑" w:eastAsia="微软雅黑" w:cs="宋体"/>
                <w:kern w:val="0"/>
                <w:sz w:val="22"/>
                <w:szCs w:val="22"/>
              </w:rPr>
              <w:t>1、非本期征集品类的品牌；</w:t>
            </w:r>
          </w:p>
          <w:p>
            <w:pPr>
              <w:keepNext w:val="0"/>
              <w:keepLines w:val="0"/>
              <w:widowControl/>
              <w:suppressLineNumbers w:val="0"/>
              <w:jc w:val="left"/>
              <w:textAlignment w:val="center"/>
              <w:rPr>
                <w:rFonts w:hint="eastAsia" w:ascii="微软雅黑" w:hAnsi="微软雅黑" w:eastAsia="微软雅黑" w:cs="宋体"/>
                <w:kern w:val="0"/>
                <w:sz w:val="22"/>
                <w:szCs w:val="22"/>
                <w:lang w:eastAsia="zh-CN"/>
              </w:rPr>
            </w:pPr>
            <w:r>
              <w:rPr>
                <w:rFonts w:hint="eastAsia" w:ascii="微软雅黑" w:hAnsi="微软雅黑" w:eastAsia="微软雅黑" w:cs="宋体"/>
                <w:kern w:val="0"/>
                <w:sz w:val="22"/>
                <w:szCs w:val="22"/>
              </w:rPr>
              <w:t>2、征集品类的品牌已在我司集团</w:t>
            </w:r>
            <w:r>
              <w:rPr>
                <w:rFonts w:hint="eastAsia" w:ascii="微软雅黑" w:hAnsi="微软雅黑" w:eastAsia="微软雅黑" w:cs="宋体"/>
                <w:kern w:val="0"/>
                <w:sz w:val="22"/>
                <w:szCs w:val="22"/>
                <w:lang w:val="en-US" w:eastAsia="zh-CN"/>
              </w:rPr>
              <w:t>机场类</w:t>
            </w:r>
            <w:r>
              <w:rPr>
                <w:rFonts w:hint="eastAsia" w:ascii="微软雅黑" w:hAnsi="微软雅黑" w:eastAsia="微软雅黑" w:cs="宋体"/>
                <w:kern w:val="0"/>
                <w:sz w:val="22"/>
                <w:szCs w:val="22"/>
              </w:rPr>
              <w:t>品牌库内</w:t>
            </w:r>
            <w:r>
              <w:rPr>
                <w:rFonts w:hint="eastAsia" w:ascii="微软雅黑" w:hAnsi="微软雅黑" w:eastAsia="微软雅黑" w:cs="宋体"/>
                <w:kern w:val="0"/>
                <w:sz w:val="22"/>
                <w:szCs w:val="22"/>
                <w:lang w:eastAsia="zh-CN"/>
              </w:rPr>
              <w:t>（</w:t>
            </w:r>
            <w:r>
              <w:rPr>
                <w:rFonts w:hint="eastAsia" w:ascii="微软雅黑" w:hAnsi="微软雅黑" w:eastAsia="微软雅黑" w:cs="宋体"/>
                <w:kern w:val="0"/>
                <w:sz w:val="22"/>
                <w:szCs w:val="22"/>
                <w:lang w:val="en-US" w:eastAsia="zh-CN"/>
              </w:rPr>
              <w:t>重新征集的除外</w:t>
            </w:r>
            <w:r>
              <w:rPr>
                <w:rFonts w:hint="eastAsia" w:ascii="微软雅黑" w:hAnsi="微软雅黑" w:eastAsia="微软雅黑" w:cs="宋体"/>
                <w:kern w:val="0"/>
                <w:sz w:val="22"/>
                <w:szCs w:val="22"/>
                <w:lang w:eastAsia="zh-CN"/>
              </w:rPr>
              <w:t>）</w:t>
            </w:r>
          </w:p>
          <w:p>
            <w:pPr>
              <w:pStyle w:val="2"/>
              <w:rPr>
                <w:rFonts w:hint="default"/>
                <w:sz w:val="22"/>
                <w:szCs w:val="22"/>
                <w:lang w:val="en-US" w:eastAsia="zh-CN"/>
              </w:rPr>
            </w:pPr>
            <w:r>
              <w:rPr>
                <w:rFonts w:hint="eastAsia"/>
                <w:sz w:val="22"/>
                <w:szCs w:val="22"/>
                <w:lang w:val="en-US" w:eastAsia="zh-CN"/>
              </w:rPr>
              <w:t>二、</w:t>
            </w:r>
            <w:r>
              <w:rPr>
                <w:rFonts w:hint="eastAsia" w:ascii="微软雅黑" w:hAnsi="微软雅黑" w:eastAsia="微软雅黑" w:cs="宋体"/>
                <w:kern w:val="0"/>
                <w:sz w:val="22"/>
                <w:szCs w:val="22"/>
                <w:lang w:val="en-US" w:eastAsia="zh-CN" w:bidi="ar-SA"/>
              </w:rPr>
              <w:t>名词解释：</w:t>
            </w:r>
          </w:p>
          <w:p>
            <w:pPr>
              <w:pStyle w:val="2"/>
              <w:rPr>
                <w:rFonts w:hint="eastAsia" w:ascii="微软雅黑" w:hAnsi="微软雅黑" w:eastAsia="微软雅黑" w:cs="宋体"/>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1</w:t>
            </w:r>
            <w:r>
              <w:rPr>
                <w:rFonts w:hint="eastAsia" w:ascii="微软雅黑" w:hAnsi="微软雅黑" w:eastAsia="微软雅黑" w:cs="宋体"/>
                <w:kern w:val="0"/>
                <w:sz w:val="22"/>
                <w:szCs w:val="22"/>
                <w:lang w:val="en-US" w:eastAsia="zh-CN" w:bidi="ar-SA"/>
              </w:rPr>
              <w:t>、补充征集：在翔业集团机场类品牌库现有品牌不变的基础上征集。</w:t>
            </w:r>
          </w:p>
          <w:p>
            <w:pPr>
              <w:pStyle w:val="2"/>
              <w:rPr>
                <w:rFonts w:hint="eastAsia" w:ascii="微软雅黑" w:hAnsi="微软雅黑" w:eastAsia="微软雅黑" w:cs="宋体"/>
                <w:kern w:val="0"/>
                <w:sz w:val="22"/>
                <w:szCs w:val="22"/>
                <w:lang w:val="en-US" w:eastAsia="zh-CN" w:bidi="ar-SA"/>
              </w:rPr>
            </w:pPr>
            <w:r>
              <w:rPr>
                <w:rFonts w:hint="eastAsia" w:ascii="微软雅黑" w:hAnsi="微软雅黑" w:eastAsia="微软雅黑" w:cs="宋体"/>
                <w:kern w:val="0"/>
                <w:sz w:val="22"/>
                <w:szCs w:val="22"/>
                <w:lang w:val="en-US" w:eastAsia="zh-CN" w:bidi="ar-SA"/>
              </w:rPr>
              <w:t>2、重新征集：翔业集团机场类品牌库现有品牌一并参与的征集（原有品牌需一并提供资料应征，应征厂家共同参与评审）。</w:t>
            </w:r>
          </w:p>
          <w:p>
            <w:pPr>
              <w:pStyle w:val="2"/>
              <w:rPr>
                <w:rFonts w:hint="eastAsia" w:ascii="微软雅黑" w:hAnsi="微软雅黑" w:eastAsia="微软雅黑" w:cs="宋体"/>
                <w:kern w:val="0"/>
                <w:sz w:val="22"/>
                <w:szCs w:val="22"/>
                <w:lang w:val="en-US" w:eastAsia="zh-CN" w:bidi="ar-SA"/>
              </w:rPr>
            </w:pPr>
            <w:r>
              <w:rPr>
                <w:rFonts w:hint="eastAsia" w:ascii="微软雅黑" w:hAnsi="微软雅黑" w:eastAsia="微软雅黑" w:cs="宋体"/>
                <w:kern w:val="0"/>
                <w:sz w:val="22"/>
                <w:szCs w:val="22"/>
                <w:lang w:val="en-US" w:eastAsia="zh-CN" w:bidi="ar-SA"/>
              </w:rPr>
              <w:t>3、新增征集：翔业集团机场类品牌库新增品类开展征集。</w:t>
            </w:r>
          </w:p>
          <w:p>
            <w:pPr>
              <w:pStyle w:val="2"/>
              <w:rPr>
                <w:rFonts w:hint="eastAsia" w:ascii="微软雅黑" w:hAnsi="微软雅黑" w:eastAsia="微软雅黑" w:cs="宋体"/>
                <w:kern w:val="0"/>
                <w:sz w:val="22"/>
                <w:szCs w:val="22"/>
                <w:lang w:val="en-US" w:eastAsia="zh-CN" w:bidi="ar-SA"/>
              </w:rPr>
            </w:pPr>
            <w:r>
              <w:rPr>
                <w:rFonts w:hint="eastAsia" w:ascii="微软雅黑" w:hAnsi="微软雅黑" w:eastAsia="微软雅黑" w:cs="宋体"/>
                <w:kern w:val="0"/>
                <w:sz w:val="22"/>
                <w:szCs w:val="22"/>
                <w:lang w:val="en-US" w:eastAsia="zh-CN" w:bidi="ar-SA"/>
              </w:rPr>
              <w:t>4、民航业绩：仅限于航站楼、卫星厅、ITC大楼、AOC大楼、飞行区、机场交通中心、货运区相关业绩。</w:t>
            </w:r>
          </w:p>
          <w:p>
            <w:pPr>
              <w:pStyle w:val="2"/>
              <w:rPr>
                <w:rFonts w:hint="default" w:ascii="微软雅黑" w:hAnsi="微软雅黑" w:eastAsia="微软雅黑" w:cs="宋体"/>
                <w:kern w:val="0"/>
                <w:sz w:val="22"/>
                <w:szCs w:val="22"/>
                <w:lang w:val="en-US" w:eastAsia="zh-CN" w:bidi="ar-SA"/>
              </w:rPr>
            </w:pPr>
            <w:r>
              <w:rPr>
                <w:rFonts w:hint="eastAsia" w:ascii="微软雅黑" w:hAnsi="微软雅黑" w:eastAsia="微软雅黑" w:cs="宋体"/>
                <w:kern w:val="0"/>
                <w:sz w:val="22"/>
                <w:szCs w:val="22"/>
                <w:lang w:val="en-US" w:eastAsia="zh-CN" w:bidi="ar-SA"/>
              </w:rPr>
              <w:t>5、民用航空安全检查设备许可：具备有效的民航设备许可，有效期需在征集截止日之后</w:t>
            </w:r>
          </w:p>
          <w:p>
            <w:pPr>
              <w:pStyle w:val="2"/>
              <w:rPr>
                <w:rFonts w:hint="default"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身份证阅读器</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护照阅读器</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条码阅读器（LSR）</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离港打印机</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内通系统</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时钟系统</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安检分层管理系统（含软件不含硬件）</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补充征集，需具备民航业绩，并具备相应民航检查设备厂家的原厂软件著作权。</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货物运输X射线双视角安全检查设备</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补充征集，需具备民航业绩及民用航空安全检查设备许可</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旅客行李X射线双视角安全检查设备（手提）</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补充征集，需具备民航业绩及民用航空安全检查设备许可</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旅客行李X射线双视角安全检查设备（托运）</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补充征集，需具备民航业绩及民用航空安全检查设备许可</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通过式金属探测门</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补充征集，需具备民航业绩及民用航空安全检查设备许可</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手持式金属探测安全检查设备</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补充征集，需具备民航业绩及民用航空安全检查设备许可</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痕量爆炸物安全检查设备</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补充征集，需具备民航业绩及民用航空安全检查设备许可</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毫米波人体成像安全检查设备</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补充征集，需具备民航业绩及民用航空安全检查设备许可</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机场自助安检/自助登机闸机</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安检智能通道</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旅客托运行李X射线计算机断层成像爆炸物探测设备（CT机）</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补充征集，需具备民航业绩及民用航空安全检查设备许可</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含报警探测器、报警综合管理软件等</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重新征集，需具备民航业绩</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工业交换机</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800M集群通讯系统</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磁盘阵列</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机场全景监控系统</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新增征集，需具备民航业绩</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RFID手持终端</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新增征集，需具备民航业绩</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RFID采集设备</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新增征集，需具备民航业绩</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OCR采集设备</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新增征集，需具备民航业绩</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111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2"/>
                <w:szCs w:val="22"/>
                <w:u w:val="none"/>
              </w:rPr>
            </w:pPr>
          </w:p>
        </w:tc>
        <w:tc>
          <w:tcPr>
            <w:tcW w:w="313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机场甚高频</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新增征集，需具备民航业绩</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2" w:hRule="atLeast"/>
          <w:jc w:val="center"/>
        </w:trPr>
        <w:tc>
          <w:tcPr>
            <w:tcW w:w="1117"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lang w:val="en-US" w:eastAsia="zh-CN"/>
              </w:rPr>
              <w:t>机电专业</w:t>
            </w:r>
          </w:p>
        </w:tc>
        <w:tc>
          <w:tcPr>
            <w:tcW w:w="313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飞机泊位引导系统</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补充征集，需具备民航业绩</w:t>
            </w:r>
          </w:p>
        </w:tc>
        <w:tc>
          <w:tcPr>
            <w:tcW w:w="2984" w:type="dxa"/>
            <w:vMerge w:val="continue"/>
            <w:tcBorders>
              <w:left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7" w:hRule="atLeast"/>
          <w:jc w:val="center"/>
        </w:trPr>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lang w:val="en-US" w:eastAsia="zh-CN"/>
              </w:rPr>
              <w:t>场道专业</w:t>
            </w:r>
          </w:p>
        </w:tc>
        <w:tc>
          <w:tcPr>
            <w:tcW w:w="3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物理围界</w:t>
            </w:r>
          </w:p>
        </w:tc>
        <w:tc>
          <w:tcPr>
            <w:tcW w:w="275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补充征集，需具备民航业绩</w:t>
            </w:r>
          </w:p>
        </w:tc>
        <w:tc>
          <w:tcPr>
            <w:tcW w:w="2984" w:type="dxa"/>
            <w:vMerge w:val="continue"/>
            <w:tcBorders>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bl>
    <w:p>
      <w:pPr>
        <w:widowControl/>
        <w:shd w:val="clear" w:color="auto" w:fill="FFFFFF"/>
        <w:spacing w:line="450" w:lineRule="atLeast"/>
        <w:ind w:left="360"/>
        <w:jc w:val="left"/>
        <w:rPr>
          <w:rFonts w:hint="eastAsia" w:ascii="微软雅黑" w:hAnsi="微软雅黑" w:eastAsia="微软雅黑" w:cs="宋体"/>
          <w:kern w:val="0"/>
          <w:sz w:val="24"/>
          <w:szCs w:val="24"/>
        </w:rPr>
      </w:pPr>
    </w:p>
    <w:p>
      <w:pPr>
        <w:widowControl/>
        <w:shd w:val="clear" w:color="auto" w:fill="FFFFFF"/>
        <w:spacing w:line="450" w:lineRule="atLeast"/>
        <w:jc w:val="left"/>
        <w:rPr>
          <w:rFonts w:ascii="微软雅黑" w:hAnsi="微软雅黑" w:eastAsia="微软雅黑" w:cs="宋体"/>
          <w:kern w:val="0"/>
          <w:sz w:val="24"/>
          <w:szCs w:val="24"/>
        </w:rPr>
      </w:pPr>
      <w:r>
        <w:rPr>
          <w:rFonts w:hint="eastAsia" w:ascii="微软雅黑" w:hAnsi="微软雅黑" w:eastAsia="微软雅黑" w:cs="宋体"/>
          <w:b/>
          <w:bCs/>
          <w:kern w:val="0"/>
          <w:sz w:val="24"/>
          <w:szCs w:val="24"/>
        </w:rPr>
        <w:t>2  申请入库品牌厂家资格及要求</w:t>
      </w:r>
    </w:p>
    <w:p>
      <w:pPr>
        <w:widowControl/>
        <w:shd w:val="clear" w:color="auto" w:fill="FFFFFF"/>
        <w:spacing w:line="450" w:lineRule="atLeast"/>
        <w:ind w:firstLine="420"/>
        <w:jc w:val="left"/>
        <w:rPr>
          <w:rFonts w:ascii="微软雅黑" w:hAnsi="微软雅黑" w:eastAsia="微软雅黑" w:cs="宋体"/>
          <w:kern w:val="0"/>
          <w:sz w:val="24"/>
          <w:szCs w:val="24"/>
        </w:rPr>
      </w:pPr>
      <w:r>
        <w:rPr>
          <w:rFonts w:hint="eastAsia" w:ascii="微软雅黑" w:hAnsi="微软雅黑" w:eastAsia="微软雅黑" w:cs="宋体"/>
          <w:kern w:val="0"/>
          <w:sz w:val="24"/>
          <w:szCs w:val="24"/>
        </w:rPr>
        <w:t>2.1具有独立承担民事责任的能力、良好的商业信誉和健全的财务会计制度、履行合同所必需的设备和专业技术能力；</w:t>
      </w:r>
    </w:p>
    <w:p>
      <w:pPr>
        <w:widowControl/>
        <w:shd w:val="clear" w:color="auto" w:fill="FFFFFF"/>
        <w:spacing w:line="450" w:lineRule="atLeast"/>
        <w:ind w:firstLine="420"/>
        <w:jc w:val="left"/>
        <w:rPr>
          <w:rFonts w:ascii="微软雅黑" w:hAnsi="微软雅黑" w:eastAsia="微软雅黑" w:cs="宋体"/>
          <w:kern w:val="0"/>
          <w:sz w:val="24"/>
          <w:szCs w:val="24"/>
        </w:rPr>
      </w:pPr>
      <w:r>
        <w:rPr>
          <w:rFonts w:hint="eastAsia" w:ascii="微软雅黑" w:hAnsi="微软雅黑" w:eastAsia="微软雅黑" w:cs="宋体"/>
          <w:kern w:val="0"/>
          <w:sz w:val="24"/>
          <w:szCs w:val="24"/>
        </w:rPr>
        <w:t>2.2 财务和信誉状况：具有依法缴纳税收和社会保障资金的良好记录；近三年内（至入库申请截止时间），在经营活动中没有重大违法失信记录。</w:t>
      </w:r>
    </w:p>
    <w:p>
      <w:pPr>
        <w:widowControl/>
        <w:shd w:val="clear" w:color="auto" w:fill="FFFFFF"/>
        <w:spacing w:line="450" w:lineRule="atLeast"/>
        <w:ind w:firstLine="480"/>
        <w:jc w:val="left"/>
        <w:rPr>
          <w:rFonts w:ascii="微软雅黑" w:hAnsi="微软雅黑" w:eastAsia="微软雅黑" w:cs="宋体"/>
          <w:kern w:val="0"/>
          <w:sz w:val="24"/>
          <w:szCs w:val="24"/>
        </w:rPr>
      </w:pPr>
      <w:r>
        <w:rPr>
          <w:rFonts w:hint="eastAsia" w:ascii="微软雅黑" w:hAnsi="微软雅黑" w:eastAsia="微软雅黑" w:cs="宋体"/>
          <w:kern w:val="0"/>
          <w:sz w:val="24"/>
          <w:szCs w:val="24"/>
        </w:rPr>
        <w:t>2.3本次申请入库可接受品牌授权代理商代为提交入库登记资料，但必须有品牌厂家专门针对我司征集环节的授权证明。</w:t>
      </w:r>
    </w:p>
    <w:p>
      <w:pPr>
        <w:widowControl/>
        <w:shd w:val="clear" w:color="auto" w:fill="FFFFFF"/>
        <w:spacing w:line="450" w:lineRule="atLeast"/>
        <w:ind w:firstLine="426"/>
        <w:jc w:val="left"/>
        <w:rPr>
          <w:rFonts w:ascii="微软雅黑" w:hAnsi="微软雅黑" w:eastAsia="微软雅黑" w:cs="宋体"/>
          <w:kern w:val="0"/>
          <w:sz w:val="24"/>
          <w:szCs w:val="24"/>
        </w:rPr>
      </w:pPr>
      <w:r>
        <w:rPr>
          <w:rFonts w:hint="eastAsia" w:ascii="微软雅黑" w:hAnsi="微软雅黑" w:eastAsia="微软雅黑" w:cs="宋体"/>
          <w:kern w:val="0"/>
          <w:sz w:val="24"/>
          <w:szCs w:val="24"/>
        </w:rPr>
        <w:t>2.4授权代理商不得同时代为提交两个或两个以上的同类别同档品牌入库申请。</w:t>
      </w:r>
    </w:p>
    <w:p>
      <w:pPr>
        <w:widowControl/>
        <w:shd w:val="clear" w:color="auto" w:fill="FFFFFF"/>
        <w:spacing w:line="450" w:lineRule="atLeast"/>
        <w:ind w:firstLine="425" w:firstLineChars="177"/>
        <w:jc w:val="left"/>
        <w:rPr>
          <w:rFonts w:ascii="微软雅黑" w:hAnsi="微软雅黑" w:eastAsia="微软雅黑" w:cs="宋体"/>
          <w:b/>
          <w:kern w:val="0"/>
          <w:sz w:val="24"/>
          <w:szCs w:val="24"/>
        </w:rPr>
      </w:pPr>
      <w:r>
        <w:rPr>
          <w:rFonts w:hint="eastAsia" w:ascii="微软雅黑" w:hAnsi="微软雅黑" w:eastAsia="微软雅黑" w:cs="宋体"/>
          <w:b/>
          <w:kern w:val="0"/>
          <w:sz w:val="24"/>
          <w:szCs w:val="24"/>
        </w:rPr>
        <w:t>2.5 申请入库品牌必须按要求提供完整品牌入库登记资料（具体详见附件一）</w:t>
      </w:r>
      <w:r>
        <w:rPr>
          <w:rFonts w:hint="eastAsia" w:ascii="微软雅黑" w:hAnsi="微软雅黑" w:eastAsia="微软雅黑" w:cs="宋体"/>
          <w:kern w:val="0"/>
          <w:sz w:val="24"/>
          <w:szCs w:val="24"/>
        </w:rPr>
        <w:t>。申请入库厂家提供的入库资料必须真实有效；若经查证资料存在弄虚作假，则将被列入我司黑名单，并且三年内不得申请入库。</w:t>
      </w:r>
    </w:p>
    <w:p>
      <w:pPr>
        <w:widowControl/>
        <w:shd w:val="clear" w:color="auto" w:fill="FFFFFF"/>
        <w:spacing w:line="450" w:lineRule="atLeast"/>
        <w:ind w:left="360" w:hanging="360"/>
        <w:jc w:val="left"/>
        <w:rPr>
          <w:rFonts w:ascii="微软雅黑" w:hAnsi="微软雅黑" w:eastAsia="微软雅黑" w:cs="宋体"/>
          <w:kern w:val="0"/>
          <w:sz w:val="24"/>
          <w:szCs w:val="24"/>
        </w:rPr>
      </w:pPr>
      <w:r>
        <w:rPr>
          <w:rFonts w:hint="eastAsia" w:ascii="微软雅黑" w:hAnsi="微软雅黑" w:eastAsia="微软雅黑" w:cs="宋体"/>
          <w:b/>
          <w:bCs/>
          <w:kern w:val="0"/>
          <w:sz w:val="24"/>
          <w:szCs w:val="24"/>
        </w:rPr>
        <w:t>3   入库征集截止时间及文件送交地点</w:t>
      </w:r>
    </w:p>
    <w:p>
      <w:pPr>
        <w:widowControl/>
        <w:shd w:val="clear" w:color="auto" w:fill="FFFFFF"/>
        <w:spacing w:line="450" w:lineRule="atLeast"/>
        <w:ind w:firstLine="480"/>
        <w:jc w:val="left"/>
        <w:rPr>
          <w:rFonts w:ascii="微软雅黑" w:hAnsi="微软雅黑" w:eastAsia="微软雅黑" w:cs="宋体"/>
          <w:kern w:val="0"/>
          <w:sz w:val="24"/>
          <w:szCs w:val="24"/>
        </w:rPr>
      </w:pPr>
      <w:r>
        <w:rPr>
          <w:rFonts w:hint="eastAsia" w:ascii="微软雅黑" w:hAnsi="微软雅黑" w:eastAsia="微软雅黑" w:cs="宋体"/>
          <w:kern w:val="0"/>
          <w:sz w:val="24"/>
          <w:szCs w:val="24"/>
        </w:rPr>
        <w:t>3.1 本期入库征集的截止时间：</w:t>
      </w:r>
      <w:r>
        <w:rPr>
          <w:rFonts w:hint="eastAsia" w:ascii="微软雅黑" w:hAnsi="微软雅黑" w:eastAsia="微软雅黑" w:cs="宋体"/>
          <w:kern w:val="0"/>
          <w:sz w:val="24"/>
          <w:szCs w:val="24"/>
          <w:u w:val="single"/>
        </w:rPr>
        <w:t xml:space="preserve"> </w:t>
      </w:r>
      <w:r>
        <w:rPr>
          <w:rFonts w:ascii="微软雅黑" w:hAnsi="微软雅黑" w:eastAsia="微软雅黑" w:cs="宋体"/>
          <w:color w:val="FF0000"/>
          <w:kern w:val="0"/>
          <w:sz w:val="24"/>
          <w:szCs w:val="24"/>
          <w:highlight w:val="yellow"/>
          <w:u w:val="single"/>
        </w:rPr>
        <w:t>20</w:t>
      </w:r>
      <w:r>
        <w:rPr>
          <w:rFonts w:hint="eastAsia" w:ascii="微软雅黑" w:hAnsi="微软雅黑" w:eastAsia="微软雅黑" w:cs="宋体"/>
          <w:color w:val="FF0000"/>
          <w:kern w:val="0"/>
          <w:sz w:val="24"/>
          <w:szCs w:val="24"/>
          <w:highlight w:val="yellow"/>
          <w:u w:val="single"/>
        </w:rPr>
        <w:t>2</w:t>
      </w:r>
      <w:r>
        <w:rPr>
          <w:rFonts w:hint="eastAsia" w:ascii="微软雅黑" w:hAnsi="微软雅黑" w:eastAsia="微软雅黑" w:cs="宋体"/>
          <w:color w:val="FF0000"/>
          <w:kern w:val="0"/>
          <w:sz w:val="24"/>
          <w:szCs w:val="24"/>
          <w:highlight w:val="yellow"/>
          <w:u w:val="single"/>
          <w:lang w:val="en-US" w:eastAsia="zh-CN"/>
        </w:rPr>
        <w:t>3</w:t>
      </w:r>
      <w:r>
        <w:rPr>
          <w:rFonts w:ascii="微软雅黑" w:hAnsi="微软雅黑" w:eastAsia="微软雅黑" w:cs="宋体"/>
          <w:color w:val="FF0000"/>
          <w:kern w:val="0"/>
          <w:sz w:val="24"/>
          <w:szCs w:val="24"/>
          <w:highlight w:val="yellow"/>
          <w:u w:val="single"/>
        </w:rPr>
        <w:t xml:space="preserve"> </w:t>
      </w:r>
      <w:r>
        <w:rPr>
          <w:rFonts w:hint="eastAsia" w:ascii="微软雅黑" w:hAnsi="微软雅黑" w:eastAsia="微软雅黑" w:cs="宋体"/>
          <w:color w:val="FF0000"/>
          <w:kern w:val="0"/>
          <w:sz w:val="24"/>
          <w:szCs w:val="24"/>
          <w:highlight w:val="yellow"/>
        </w:rPr>
        <w:t>年</w:t>
      </w:r>
      <w:r>
        <w:rPr>
          <w:rFonts w:ascii="微软雅黑" w:hAnsi="微软雅黑" w:eastAsia="微软雅黑" w:cs="宋体"/>
          <w:color w:val="FF0000"/>
          <w:kern w:val="0"/>
          <w:sz w:val="24"/>
          <w:szCs w:val="24"/>
          <w:highlight w:val="yellow"/>
          <w:u w:val="single"/>
        </w:rPr>
        <w:t xml:space="preserve"> </w:t>
      </w:r>
      <w:r>
        <w:rPr>
          <w:rFonts w:hint="eastAsia" w:ascii="微软雅黑" w:hAnsi="微软雅黑" w:eastAsia="微软雅黑" w:cs="宋体"/>
          <w:color w:val="FF0000"/>
          <w:kern w:val="0"/>
          <w:sz w:val="24"/>
          <w:szCs w:val="24"/>
          <w:highlight w:val="yellow"/>
          <w:u w:val="single"/>
          <w:lang w:val="en-US" w:eastAsia="zh-CN"/>
        </w:rPr>
        <w:t>12</w:t>
      </w:r>
      <w:r>
        <w:rPr>
          <w:rFonts w:ascii="微软雅黑" w:hAnsi="微软雅黑" w:eastAsia="微软雅黑" w:cs="宋体"/>
          <w:color w:val="FF0000"/>
          <w:kern w:val="0"/>
          <w:sz w:val="24"/>
          <w:szCs w:val="24"/>
          <w:highlight w:val="yellow"/>
          <w:u w:val="single"/>
        </w:rPr>
        <w:t xml:space="preserve"> </w:t>
      </w:r>
      <w:r>
        <w:rPr>
          <w:rFonts w:hint="eastAsia" w:ascii="微软雅黑" w:hAnsi="微软雅黑" w:eastAsia="微软雅黑" w:cs="宋体"/>
          <w:color w:val="FF0000"/>
          <w:kern w:val="0"/>
          <w:sz w:val="24"/>
          <w:szCs w:val="24"/>
          <w:highlight w:val="yellow"/>
        </w:rPr>
        <w:t>月</w:t>
      </w:r>
      <w:r>
        <w:rPr>
          <w:rFonts w:ascii="微软雅黑" w:hAnsi="微软雅黑" w:eastAsia="微软雅黑" w:cs="宋体"/>
          <w:color w:val="FF0000"/>
          <w:kern w:val="0"/>
          <w:sz w:val="24"/>
          <w:szCs w:val="24"/>
          <w:highlight w:val="yellow"/>
          <w:u w:val="single"/>
        </w:rPr>
        <w:t xml:space="preserve"> 1</w:t>
      </w:r>
      <w:r>
        <w:rPr>
          <w:rFonts w:hint="eastAsia" w:ascii="微软雅黑" w:hAnsi="微软雅黑" w:eastAsia="微软雅黑" w:cs="宋体"/>
          <w:color w:val="FF0000"/>
          <w:kern w:val="0"/>
          <w:sz w:val="24"/>
          <w:szCs w:val="24"/>
          <w:highlight w:val="yellow"/>
          <w:u w:val="single"/>
          <w:lang w:val="en-US" w:eastAsia="zh-CN"/>
        </w:rPr>
        <w:t>0</w:t>
      </w:r>
      <w:r>
        <w:rPr>
          <w:rFonts w:hint="eastAsia" w:ascii="微软雅黑" w:hAnsi="微软雅黑" w:eastAsia="微软雅黑" w:cs="宋体"/>
          <w:color w:val="FF0000"/>
          <w:kern w:val="0"/>
          <w:sz w:val="24"/>
          <w:szCs w:val="24"/>
          <w:highlight w:val="yellow"/>
          <w:u w:val="single"/>
        </w:rPr>
        <w:t xml:space="preserve"> </w:t>
      </w:r>
      <w:r>
        <w:rPr>
          <w:rFonts w:hint="eastAsia" w:ascii="微软雅黑" w:hAnsi="微软雅黑" w:eastAsia="微软雅黑" w:cs="宋体"/>
          <w:color w:val="FF0000"/>
          <w:kern w:val="0"/>
          <w:sz w:val="24"/>
          <w:szCs w:val="24"/>
          <w:highlight w:val="yellow"/>
        </w:rPr>
        <w:t>日</w:t>
      </w:r>
      <w:r>
        <w:rPr>
          <w:rFonts w:hint="eastAsia" w:ascii="微软雅黑" w:hAnsi="微软雅黑" w:eastAsia="微软雅黑" w:cs="宋体"/>
          <w:kern w:val="0"/>
          <w:sz w:val="24"/>
          <w:szCs w:val="24"/>
        </w:rPr>
        <w:t>，入库申请文件送达的时间以收到时间为准，逾期递送，本期将不接收申请及评审。</w:t>
      </w:r>
    </w:p>
    <w:p>
      <w:pPr>
        <w:widowControl/>
        <w:shd w:val="clear" w:color="auto" w:fill="FFFFFF"/>
        <w:spacing w:line="450" w:lineRule="atLeast"/>
        <w:ind w:firstLine="480"/>
        <w:jc w:val="left"/>
        <w:rPr>
          <w:rFonts w:hint="eastAsia" w:ascii="微软雅黑" w:hAnsi="微软雅黑" w:eastAsia="微软雅黑" w:cs="宋体"/>
          <w:kern w:val="0"/>
          <w:sz w:val="24"/>
          <w:szCs w:val="24"/>
        </w:rPr>
      </w:pPr>
      <w:r>
        <w:rPr>
          <w:rFonts w:hint="eastAsia" w:ascii="微软雅黑" w:hAnsi="微软雅黑" w:eastAsia="微软雅黑" w:cs="宋体"/>
          <w:kern w:val="0"/>
          <w:sz w:val="24"/>
          <w:szCs w:val="24"/>
        </w:rPr>
        <w:t>3.2 入库申请文件送交地点：请送至或者快递至</w:t>
      </w:r>
      <w:r>
        <w:rPr>
          <w:rFonts w:ascii="微软雅黑" w:hAnsi="微软雅黑" w:eastAsia="微软雅黑" w:cs="宋体"/>
          <w:kern w:val="0"/>
          <w:sz w:val="24"/>
          <w:szCs w:val="24"/>
          <w:u w:val="single"/>
        </w:rPr>
        <w:t xml:space="preserve"> </w:t>
      </w:r>
      <w:r>
        <w:rPr>
          <w:rFonts w:hint="eastAsia" w:ascii="微软雅黑" w:hAnsi="微软雅黑" w:eastAsia="微软雅黑" w:cs="宋体"/>
          <w:kern w:val="0"/>
          <w:sz w:val="24"/>
          <w:szCs w:val="24"/>
          <w:u w:val="single"/>
        </w:rPr>
        <w:t xml:space="preserve">厦门市翔安区大嶝街道福建兆翔机场建设有限公司 </w:t>
      </w:r>
      <w:r>
        <w:rPr>
          <w:rFonts w:hint="eastAsia" w:ascii="微软雅黑" w:hAnsi="微软雅黑" w:eastAsia="微软雅黑" w:cs="宋体"/>
          <w:kern w:val="0"/>
          <w:sz w:val="24"/>
          <w:szCs w:val="24"/>
          <w:u w:val="single"/>
          <w:lang w:val="en-US" w:eastAsia="zh-CN"/>
        </w:rPr>
        <w:t>王</w:t>
      </w:r>
      <w:r>
        <w:rPr>
          <w:rFonts w:hint="eastAsia" w:ascii="微软雅黑" w:hAnsi="微软雅黑" w:eastAsia="微软雅黑" w:cs="宋体"/>
          <w:kern w:val="0"/>
          <w:sz w:val="24"/>
          <w:szCs w:val="24"/>
          <w:u w:val="single"/>
        </w:rPr>
        <w:t>先生1</w:t>
      </w:r>
      <w:r>
        <w:rPr>
          <w:rFonts w:hint="eastAsia" w:ascii="微软雅黑" w:hAnsi="微软雅黑" w:eastAsia="微软雅黑" w:cs="宋体"/>
          <w:kern w:val="0"/>
          <w:sz w:val="24"/>
          <w:szCs w:val="24"/>
          <w:u w:val="single"/>
          <w:lang w:val="en-US" w:eastAsia="zh-CN"/>
        </w:rPr>
        <w:t>8</w:t>
      </w:r>
      <w:r>
        <w:rPr>
          <w:rFonts w:ascii="微软雅黑" w:hAnsi="微软雅黑" w:eastAsia="微软雅黑" w:cs="宋体"/>
          <w:kern w:val="0"/>
          <w:sz w:val="24"/>
          <w:szCs w:val="24"/>
          <w:u w:val="single"/>
        </w:rPr>
        <w:t>85</w:t>
      </w:r>
      <w:r>
        <w:rPr>
          <w:rFonts w:hint="eastAsia" w:ascii="微软雅黑" w:hAnsi="微软雅黑" w:eastAsia="微软雅黑" w:cs="宋体"/>
          <w:kern w:val="0"/>
          <w:sz w:val="24"/>
          <w:szCs w:val="24"/>
          <w:u w:val="single"/>
          <w:lang w:val="en-US" w:eastAsia="zh-CN"/>
        </w:rPr>
        <w:t>9205896</w:t>
      </w:r>
      <w:r>
        <w:rPr>
          <w:rFonts w:hint="eastAsia" w:ascii="微软雅黑" w:hAnsi="微软雅黑" w:eastAsia="微软雅黑" w:cs="宋体"/>
          <w:kern w:val="0"/>
          <w:sz w:val="24"/>
          <w:szCs w:val="24"/>
          <w:u w:val="single"/>
        </w:rPr>
        <w:t>（收）</w:t>
      </w:r>
      <w:r>
        <w:rPr>
          <w:rFonts w:hint="eastAsia" w:ascii="微软雅黑" w:hAnsi="微软雅黑" w:eastAsia="微软雅黑" w:cs="宋体"/>
          <w:kern w:val="0"/>
          <w:sz w:val="24"/>
          <w:szCs w:val="24"/>
          <w:u w:val="single"/>
          <w:lang w:eastAsia="zh-CN"/>
        </w:rPr>
        <w:t>；</w:t>
      </w:r>
      <w:r>
        <w:rPr>
          <w:rFonts w:hint="eastAsia" w:ascii="微软雅黑" w:hAnsi="微软雅黑" w:eastAsia="微软雅黑" w:cs="宋体"/>
          <w:kern w:val="0"/>
          <w:sz w:val="24"/>
          <w:szCs w:val="24"/>
          <w:u w:val="single"/>
        </w:rPr>
        <w:t>如快递送交需邮件告知快递运单号</w:t>
      </w:r>
      <w:r>
        <w:rPr>
          <w:rFonts w:hint="eastAsia" w:ascii="微软雅黑" w:hAnsi="微软雅黑" w:eastAsia="微软雅黑" w:cs="宋体"/>
          <w:kern w:val="0"/>
          <w:sz w:val="24"/>
          <w:szCs w:val="24"/>
          <w:u w:val="single"/>
          <w:lang w:eastAsia="zh-CN"/>
        </w:rPr>
        <w:t>，</w:t>
      </w:r>
      <w:r>
        <w:rPr>
          <w:rFonts w:hint="eastAsia" w:ascii="微软雅黑" w:hAnsi="微软雅黑" w:eastAsia="微软雅黑" w:cs="宋体"/>
          <w:kern w:val="0"/>
          <w:sz w:val="24"/>
          <w:szCs w:val="24"/>
          <w:u w:val="single"/>
          <w:lang w:val="en-US" w:eastAsia="zh-CN"/>
        </w:rPr>
        <w:t>邮箱：</w:t>
      </w:r>
      <w:r>
        <w:rPr>
          <w:rFonts w:hint="eastAsia" w:ascii="微软雅黑" w:hAnsi="微软雅黑" w:eastAsia="微软雅黑" w:cs="宋体"/>
          <w:kern w:val="0"/>
          <w:sz w:val="24"/>
          <w:szCs w:val="24"/>
          <w:u w:val="single"/>
        </w:rPr>
        <w:fldChar w:fldCharType="begin"/>
      </w:r>
      <w:r>
        <w:rPr>
          <w:rFonts w:hint="eastAsia" w:ascii="微软雅黑" w:hAnsi="微软雅黑" w:eastAsia="微软雅黑" w:cs="宋体"/>
          <w:kern w:val="0"/>
          <w:sz w:val="24"/>
          <w:szCs w:val="24"/>
          <w:u w:val="single"/>
        </w:rPr>
        <w:instrText xml:space="preserve"> HYPERLINK "mailto:jcjsxj@iport.com.cn" </w:instrText>
      </w:r>
      <w:r>
        <w:rPr>
          <w:rFonts w:hint="eastAsia" w:ascii="微软雅黑" w:hAnsi="微软雅黑" w:eastAsia="微软雅黑" w:cs="宋体"/>
          <w:kern w:val="0"/>
          <w:sz w:val="24"/>
          <w:szCs w:val="24"/>
          <w:u w:val="single"/>
        </w:rPr>
        <w:fldChar w:fldCharType="separate"/>
      </w:r>
      <w:r>
        <w:rPr>
          <w:rFonts w:hint="eastAsia" w:ascii="微软雅黑" w:hAnsi="微软雅黑" w:eastAsia="微软雅黑" w:cs="宋体"/>
          <w:kern w:val="0"/>
          <w:sz w:val="24"/>
          <w:szCs w:val="24"/>
          <w:u w:val="single"/>
        </w:rPr>
        <w:t>jcjsxj@iport.com.cn</w:t>
      </w:r>
      <w:r>
        <w:rPr>
          <w:rFonts w:hint="default" w:ascii="微软雅黑" w:hAnsi="微软雅黑" w:eastAsia="微软雅黑" w:cs="宋体"/>
          <w:kern w:val="0"/>
          <w:sz w:val="24"/>
          <w:szCs w:val="24"/>
          <w:u w:val="single"/>
        </w:rPr>
        <w:fldChar w:fldCharType="end"/>
      </w:r>
      <w:r>
        <w:rPr>
          <w:rFonts w:hint="eastAsia" w:ascii="微软雅黑" w:hAnsi="微软雅黑" w:eastAsia="微软雅黑" w:cs="宋体"/>
          <w:kern w:val="0"/>
          <w:sz w:val="24"/>
          <w:szCs w:val="24"/>
          <w:u w:val="single"/>
        </w:rPr>
        <w:t>，以便核查</w:t>
      </w:r>
      <w:r>
        <w:rPr>
          <w:rFonts w:hint="eastAsia" w:ascii="微软雅黑" w:hAnsi="微软雅黑" w:eastAsia="微软雅黑" w:cs="宋体"/>
          <w:kern w:val="0"/>
          <w:sz w:val="24"/>
          <w:szCs w:val="24"/>
          <w:u w:val="single"/>
          <w:lang w:eastAsia="zh-CN"/>
        </w:rPr>
        <w:t>（</w:t>
      </w:r>
      <w:r>
        <w:rPr>
          <w:rFonts w:hint="eastAsia" w:ascii="微软雅黑" w:hAnsi="微软雅黑" w:eastAsia="微软雅黑" w:cs="宋体"/>
          <w:kern w:val="0"/>
          <w:sz w:val="24"/>
          <w:szCs w:val="24"/>
          <w:u w:val="single"/>
          <w:lang w:val="en-US" w:eastAsia="zh-CN"/>
        </w:rPr>
        <w:t>邮件标题需含有：“机场类品牌库征集”、厂家名称、应征品牌等字眼</w:t>
      </w:r>
      <w:r>
        <w:rPr>
          <w:rFonts w:hint="eastAsia" w:ascii="微软雅黑" w:hAnsi="微软雅黑" w:eastAsia="微软雅黑" w:cs="宋体"/>
          <w:kern w:val="0"/>
          <w:sz w:val="24"/>
          <w:szCs w:val="24"/>
          <w:u w:val="single"/>
          <w:lang w:eastAsia="zh-CN"/>
        </w:rPr>
        <w:t>）</w:t>
      </w:r>
      <w:r>
        <w:rPr>
          <w:rFonts w:hint="eastAsia" w:ascii="微软雅黑" w:hAnsi="微软雅黑" w:eastAsia="微软雅黑" w:cs="宋体"/>
          <w:kern w:val="0"/>
          <w:sz w:val="24"/>
          <w:szCs w:val="24"/>
        </w:rPr>
        <w:t>；</w:t>
      </w:r>
    </w:p>
    <w:p>
      <w:pPr>
        <w:widowControl/>
        <w:shd w:val="clear" w:color="auto" w:fill="FFFFFF"/>
        <w:spacing w:line="450" w:lineRule="atLeast"/>
        <w:ind w:firstLine="480"/>
        <w:jc w:val="left"/>
        <w:rPr>
          <w:rFonts w:hint="default" w:ascii="微软雅黑" w:hAnsi="微软雅黑" w:eastAsia="微软雅黑" w:cs="宋体"/>
          <w:color w:val="FF0000"/>
          <w:kern w:val="0"/>
          <w:sz w:val="24"/>
          <w:szCs w:val="24"/>
          <w:lang w:val="en-US" w:eastAsia="zh-CN"/>
        </w:rPr>
      </w:pPr>
      <w:r>
        <w:rPr>
          <w:rFonts w:hint="eastAsia" w:ascii="微软雅黑" w:hAnsi="微软雅黑" w:eastAsia="微软雅黑" w:cs="宋体"/>
          <w:color w:val="FF0000"/>
          <w:kern w:val="0"/>
          <w:sz w:val="24"/>
          <w:szCs w:val="24"/>
          <w:lang w:val="en-US" w:eastAsia="zh-CN"/>
        </w:rPr>
        <w:t>如快递送交，需使用顺丰快递（因办公地点其它快递无法送到）。</w:t>
      </w:r>
    </w:p>
    <w:p>
      <w:pPr>
        <w:widowControl/>
        <w:shd w:val="clear" w:color="auto" w:fill="FFFFFF"/>
        <w:spacing w:line="450" w:lineRule="atLeast"/>
        <w:jc w:val="left"/>
        <w:rPr>
          <w:rFonts w:ascii="微软雅黑" w:hAnsi="微软雅黑" w:eastAsia="微软雅黑" w:cs="宋体"/>
          <w:kern w:val="0"/>
          <w:sz w:val="24"/>
          <w:szCs w:val="24"/>
          <w:u w:val="single"/>
        </w:rPr>
      </w:pPr>
      <w:r>
        <w:rPr>
          <w:rFonts w:hint="eastAsia" w:ascii="微软雅黑" w:hAnsi="微软雅黑" w:eastAsia="微软雅黑" w:cs="宋体"/>
          <w:kern w:val="0"/>
          <w:sz w:val="24"/>
          <w:szCs w:val="24"/>
        </w:rPr>
        <w:t>入库申请文件对接联系人：</w:t>
      </w:r>
      <w:r>
        <w:rPr>
          <w:rFonts w:hint="eastAsia" w:ascii="微软雅黑" w:hAnsi="微软雅黑" w:eastAsia="微软雅黑" w:cs="宋体"/>
          <w:kern w:val="0"/>
          <w:sz w:val="24"/>
          <w:szCs w:val="24"/>
          <w:u w:val="single"/>
        </w:rPr>
        <w:t xml:space="preserve"> </w:t>
      </w:r>
      <w:r>
        <w:rPr>
          <w:rFonts w:hint="eastAsia" w:ascii="微软雅黑" w:hAnsi="微软雅黑" w:eastAsia="微软雅黑" w:cs="宋体"/>
          <w:kern w:val="0"/>
          <w:sz w:val="24"/>
          <w:szCs w:val="24"/>
          <w:u w:val="single"/>
          <w:lang w:val="en-US" w:eastAsia="zh-CN"/>
        </w:rPr>
        <w:t>王</w:t>
      </w:r>
      <w:r>
        <w:rPr>
          <w:rFonts w:hint="eastAsia" w:ascii="微软雅黑" w:hAnsi="微软雅黑" w:eastAsia="微软雅黑" w:cs="宋体"/>
          <w:kern w:val="0"/>
          <w:sz w:val="24"/>
          <w:szCs w:val="24"/>
          <w:u w:val="single"/>
        </w:rPr>
        <w:t>先生</w:t>
      </w:r>
      <w:r>
        <w:rPr>
          <w:rFonts w:ascii="微软雅黑" w:hAnsi="微软雅黑" w:eastAsia="微软雅黑" w:cs="宋体"/>
          <w:kern w:val="0"/>
          <w:sz w:val="24"/>
          <w:szCs w:val="24"/>
          <w:u w:val="single"/>
        </w:rPr>
        <w:t>0592-57</w:t>
      </w:r>
      <w:r>
        <w:rPr>
          <w:rFonts w:hint="eastAsia" w:ascii="微软雅黑" w:hAnsi="微软雅黑" w:eastAsia="微软雅黑" w:cs="宋体"/>
          <w:kern w:val="0"/>
          <w:sz w:val="24"/>
          <w:szCs w:val="24"/>
          <w:u w:val="single"/>
          <w:lang w:val="en-US" w:eastAsia="zh-CN"/>
        </w:rPr>
        <w:t>83096</w:t>
      </w:r>
      <w:r>
        <w:rPr>
          <w:rFonts w:hint="eastAsia" w:ascii="微软雅黑" w:hAnsi="微软雅黑" w:eastAsia="微软雅黑" w:cs="宋体"/>
          <w:kern w:val="0"/>
          <w:sz w:val="24"/>
          <w:szCs w:val="24"/>
          <w:u w:val="single"/>
        </w:rPr>
        <w:t>；</w:t>
      </w:r>
    </w:p>
    <w:p>
      <w:pPr>
        <w:widowControl/>
        <w:shd w:val="clear" w:color="auto" w:fill="FFFFFF"/>
        <w:spacing w:line="450" w:lineRule="atLeast"/>
        <w:ind w:firstLine="424" w:firstLineChars="177"/>
        <w:jc w:val="left"/>
        <w:rPr>
          <w:rFonts w:ascii="微软雅黑" w:hAnsi="微软雅黑" w:eastAsia="微软雅黑" w:cs="宋体"/>
          <w:kern w:val="0"/>
          <w:sz w:val="24"/>
          <w:szCs w:val="24"/>
          <w:u w:val="single"/>
        </w:rPr>
      </w:pPr>
      <w:r>
        <w:rPr>
          <w:rFonts w:hint="eastAsia" w:ascii="微软雅黑" w:hAnsi="微软雅黑" w:eastAsia="微软雅黑" w:cs="宋体"/>
          <w:bCs/>
          <w:kern w:val="0"/>
          <w:sz w:val="24"/>
          <w:szCs w:val="24"/>
        </w:rPr>
        <w:t>3.3 投诉渠道:集团纪检办公室联系方式：</w:t>
      </w:r>
      <w:r>
        <w:rPr>
          <w:rFonts w:hint="eastAsia" w:ascii="微软雅黑" w:hAnsi="微软雅黑" w:eastAsia="微软雅黑" w:cs="宋体"/>
          <w:kern w:val="0"/>
          <w:sz w:val="24"/>
          <w:szCs w:val="24"/>
          <w:u w:val="single"/>
        </w:rPr>
        <w:t xml:space="preserve"> </w:t>
      </w:r>
      <w:r>
        <w:rPr>
          <w:rFonts w:ascii="微软雅黑" w:hAnsi="微软雅黑" w:eastAsia="微软雅黑" w:cs="宋体"/>
          <w:kern w:val="0"/>
          <w:sz w:val="24"/>
          <w:szCs w:val="24"/>
          <w:u w:val="single"/>
        </w:rPr>
        <w:t xml:space="preserve"> </w:t>
      </w:r>
      <w:r>
        <w:rPr>
          <w:rFonts w:hint="eastAsia" w:ascii="微软雅黑" w:hAnsi="微软雅黑" w:eastAsia="微软雅黑" w:cs="宋体"/>
          <w:kern w:val="0"/>
          <w:sz w:val="24"/>
          <w:szCs w:val="24"/>
          <w:u w:val="single"/>
        </w:rPr>
        <w:t xml:space="preserve">   </w:t>
      </w:r>
      <w:r>
        <w:rPr>
          <w:rFonts w:ascii="微软雅黑" w:hAnsi="微软雅黑" w:eastAsia="微软雅黑" w:cs="宋体"/>
          <w:kern w:val="0"/>
          <w:sz w:val="24"/>
          <w:szCs w:val="24"/>
          <w:u w:val="single"/>
        </w:rPr>
        <w:t>0592-6029082</w:t>
      </w:r>
      <w:r>
        <w:rPr>
          <w:rFonts w:hint="eastAsia" w:ascii="微软雅黑" w:hAnsi="微软雅黑" w:eastAsia="微软雅黑" w:cs="宋体"/>
          <w:kern w:val="0"/>
          <w:sz w:val="24"/>
          <w:szCs w:val="24"/>
          <w:u w:val="single"/>
        </w:rPr>
        <w:t xml:space="preserve">        ；</w:t>
      </w:r>
      <w:r>
        <w:rPr>
          <w:rFonts w:hint="eastAsia" w:ascii="微软雅黑" w:hAnsi="微软雅黑" w:eastAsia="微软雅黑" w:cs="宋体"/>
          <w:bCs/>
          <w:kern w:val="0"/>
          <w:sz w:val="24"/>
          <w:szCs w:val="24"/>
        </w:rPr>
        <w:t>兆翔置业纪检办公室联系方式：</w:t>
      </w:r>
      <w:r>
        <w:rPr>
          <w:rFonts w:hint="eastAsia" w:ascii="微软雅黑" w:hAnsi="微软雅黑" w:eastAsia="微软雅黑" w:cs="宋体"/>
          <w:kern w:val="0"/>
          <w:sz w:val="24"/>
          <w:szCs w:val="24"/>
          <w:u w:val="single"/>
        </w:rPr>
        <w:t xml:space="preserve">       </w:t>
      </w:r>
      <w:r>
        <w:rPr>
          <w:rFonts w:ascii="微软雅黑" w:hAnsi="微软雅黑" w:eastAsia="微软雅黑" w:cs="宋体"/>
          <w:kern w:val="0"/>
          <w:sz w:val="24"/>
          <w:szCs w:val="24"/>
          <w:u w:val="single"/>
        </w:rPr>
        <w:t xml:space="preserve">0592-5780728 </w:t>
      </w:r>
      <w:r>
        <w:rPr>
          <w:rFonts w:hint="eastAsia" w:ascii="微软雅黑" w:hAnsi="微软雅黑" w:eastAsia="微软雅黑" w:cs="宋体"/>
          <w:kern w:val="0"/>
          <w:sz w:val="24"/>
          <w:szCs w:val="24"/>
          <w:u w:val="single"/>
        </w:rPr>
        <w:t xml:space="preserve">     。</w:t>
      </w:r>
    </w:p>
    <w:p>
      <w:pPr>
        <w:widowControl/>
        <w:shd w:val="clear" w:color="auto" w:fill="FFFFFF"/>
        <w:spacing w:line="450" w:lineRule="atLeast"/>
        <w:ind w:left="360" w:hanging="360"/>
        <w:jc w:val="left"/>
        <w:rPr>
          <w:rFonts w:ascii="微软雅黑" w:hAnsi="微软雅黑" w:eastAsia="微软雅黑" w:cs="宋体"/>
          <w:kern w:val="0"/>
          <w:sz w:val="24"/>
          <w:szCs w:val="24"/>
        </w:rPr>
      </w:pPr>
      <w:r>
        <w:rPr>
          <w:rFonts w:hint="eastAsia" w:ascii="微软雅黑" w:hAnsi="微软雅黑" w:eastAsia="微软雅黑" w:cs="宋体"/>
          <w:b/>
          <w:bCs/>
          <w:kern w:val="0"/>
          <w:sz w:val="24"/>
          <w:szCs w:val="24"/>
        </w:rPr>
        <w:t>4   说明</w:t>
      </w:r>
    </w:p>
    <w:p>
      <w:pPr>
        <w:ind w:firstLine="424" w:firstLineChars="177"/>
        <w:rPr>
          <w:rFonts w:ascii="微软雅黑" w:hAnsi="微软雅黑" w:eastAsia="微软雅黑" w:cs="宋体"/>
          <w:kern w:val="0"/>
          <w:sz w:val="24"/>
          <w:szCs w:val="24"/>
        </w:rPr>
      </w:pPr>
      <w:r>
        <w:rPr>
          <w:rFonts w:hint="eastAsia" w:ascii="微软雅黑" w:hAnsi="微软雅黑" w:eastAsia="微软雅黑" w:cs="宋体"/>
          <w:kern w:val="0"/>
          <w:sz w:val="24"/>
          <w:szCs w:val="24"/>
        </w:rPr>
        <w:t>4.1 提交申请登记入库资料不代表入库成功，须经过厦门翔业集团有限公司内部评审审批完成后方可最终确定是否入库。</w:t>
      </w:r>
    </w:p>
    <w:p>
      <w:pPr>
        <w:widowControl/>
        <w:ind w:firstLine="360" w:firstLineChars="150"/>
        <w:jc w:val="left"/>
        <w:rPr>
          <w:rFonts w:ascii="微软雅黑" w:hAnsi="微软雅黑" w:eastAsia="微软雅黑" w:cs="宋体"/>
          <w:b/>
          <w:kern w:val="0"/>
          <w:sz w:val="24"/>
          <w:szCs w:val="24"/>
        </w:rPr>
      </w:pPr>
      <w:r>
        <w:rPr>
          <w:rFonts w:hint="eastAsia" w:ascii="微软雅黑" w:hAnsi="微软雅黑" w:eastAsia="微软雅黑" w:cs="宋体"/>
          <w:b/>
          <w:kern w:val="0"/>
          <w:sz w:val="24"/>
          <w:szCs w:val="24"/>
        </w:rPr>
        <w:t>4.2如遇以下两种情形，我司本期不予接收递交入库申请资料：</w:t>
      </w:r>
    </w:p>
    <w:p>
      <w:pPr>
        <w:widowControl/>
        <w:ind w:firstLine="480" w:firstLineChars="200"/>
        <w:jc w:val="left"/>
        <w:rPr>
          <w:rFonts w:ascii="微软雅黑" w:hAnsi="微软雅黑" w:eastAsia="微软雅黑" w:cs="宋体"/>
          <w:b/>
          <w:kern w:val="0"/>
          <w:sz w:val="24"/>
          <w:szCs w:val="24"/>
        </w:rPr>
      </w:pPr>
      <w:r>
        <w:rPr>
          <w:rFonts w:hint="eastAsia" w:ascii="微软雅黑" w:hAnsi="微软雅黑" w:eastAsia="微软雅黑" w:cs="宋体"/>
          <w:b/>
          <w:kern w:val="0"/>
          <w:sz w:val="24"/>
          <w:szCs w:val="24"/>
        </w:rPr>
        <w:t>（1）非本期征集品类的品牌；</w:t>
      </w:r>
    </w:p>
    <w:p>
      <w:pPr>
        <w:ind w:firstLine="480" w:firstLineChars="200"/>
        <w:jc w:val="left"/>
        <w:rPr>
          <w:rFonts w:ascii="微软雅黑" w:hAnsi="微软雅黑" w:eastAsia="微软雅黑" w:cs="宋体"/>
          <w:b/>
          <w:kern w:val="0"/>
          <w:sz w:val="32"/>
          <w:szCs w:val="32"/>
        </w:rPr>
      </w:pPr>
      <w:r>
        <w:rPr>
          <w:rFonts w:hint="eastAsia" w:ascii="微软雅黑" w:hAnsi="微软雅黑" w:eastAsia="微软雅黑" w:cs="宋体"/>
          <w:b/>
          <w:kern w:val="0"/>
          <w:sz w:val="24"/>
          <w:szCs w:val="24"/>
        </w:rPr>
        <w:t>（2）征集品类的品牌已在我司集团</w:t>
      </w:r>
      <w:r>
        <w:rPr>
          <w:rFonts w:hint="eastAsia" w:ascii="微软雅黑" w:hAnsi="微软雅黑" w:eastAsia="微软雅黑" w:cs="宋体"/>
          <w:b/>
          <w:kern w:val="0"/>
          <w:sz w:val="24"/>
          <w:szCs w:val="24"/>
          <w:lang w:val="en-US" w:eastAsia="zh-CN"/>
        </w:rPr>
        <w:t>机场类</w:t>
      </w:r>
      <w:r>
        <w:rPr>
          <w:rFonts w:hint="eastAsia" w:ascii="微软雅黑" w:hAnsi="微软雅黑" w:eastAsia="微软雅黑" w:cs="宋体"/>
          <w:b/>
          <w:kern w:val="0"/>
          <w:sz w:val="24"/>
          <w:szCs w:val="24"/>
        </w:rPr>
        <w:t>品牌库内</w:t>
      </w:r>
      <w:r>
        <w:rPr>
          <w:rFonts w:hint="eastAsia" w:ascii="微软雅黑" w:hAnsi="微软雅黑" w:eastAsia="微软雅黑" w:cs="宋体"/>
          <w:b/>
          <w:kern w:val="0"/>
          <w:sz w:val="24"/>
          <w:szCs w:val="24"/>
          <w:lang w:eastAsia="zh-CN"/>
        </w:rPr>
        <w:t>（</w:t>
      </w:r>
      <w:r>
        <w:rPr>
          <w:rFonts w:hint="eastAsia" w:ascii="微软雅黑" w:hAnsi="微软雅黑" w:eastAsia="微软雅黑" w:cs="宋体"/>
          <w:b/>
          <w:kern w:val="0"/>
          <w:sz w:val="24"/>
          <w:szCs w:val="24"/>
          <w:lang w:val="en-US" w:eastAsia="zh-CN"/>
        </w:rPr>
        <w:t>重新征集的除外</w:t>
      </w:r>
      <w:r>
        <w:rPr>
          <w:rFonts w:hint="eastAsia" w:ascii="微软雅黑" w:hAnsi="微软雅黑" w:eastAsia="微软雅黑" w:cs="宋体"/>
          <w:b/>
          <w:kern w:val="0"/>
          <w:sz w:val="24"/>
          <w:szCs w:val="24"/>
          <w:lang w:eastAsia="zh-CN"/>
        </w:rPr>
        <w:t>）</w:t>
      </w:r>
      <w:r>
        <w:rPr>
          <w:rFonts w:hint="eastAsia" w:ascii="微软雅黑" w:hAnsi="微软雅黑" w:eastAsia="微软雅黑" w:cs="宋体"/>
          <w:b/>
          <w:kern w:val="0"/>
          <w:sz w:val="24"/>
          <w:szCs w:val="24"/>
        </w:rPr>
        <w:t>。</w:t>
      </w:r>
    </w:p>
    <w:p>
      <w:pPr>
        <w:jc w:val="left"/>
        <w:rPr>
          <w:rFonts w:ascii="微软雅黑" w:hAnsi="微软雅黑" w:eastAsia="微软雅黑" w:cs="宋体"/>
          <w:b/>
          <w:kern w:val="0"/>
          <w:sz w:val="32"/>
          <w:szCs w:val="32"/>
        </w:rPr>
      </w:pPr>
    </w:p>
    <w:p>
      <w:pPr>
        <w:jc w:val="left"/>
        <w:rPr>
          <w:rFonts w:ascii="微软雅黑" w:hAnsi="微软雅黑" w:eastAsia="微软雅黑" w:cs="宋体"/>
          <w:b/>
          <w:kern w:val="0"/>
          <w:sz w:val="32"/>
          <w:szCs w:val="32"/>
        </w:rPr>
      </w:pPr>
    </w:p>
    <w:p>
      <w:pPr>
        <w:jc w:val="left"/>
        <w:rPr>
          <w:b/>
          <w:sz w:val="28"/>
          <w:szCs w:val="28"/>
        </w:rPr>
      </w:pPr>
      <w:r>
        <w:rPr>
          <w:rFonts w:hint="eastAsia" w:ascii="微软雅黑" w:hAnsi="微软雅黑" w:eastAsia="微软雅黑" w:cs="宋体"/>
          <w:b/>
          <w:kern w:val="0"/>
          <w:sz w:val="32"/>
          <w:szCs w:val="32"/>
        </w:rPr>
        <w:t xml:space="preserve">附件一：                                       </w:t>
      </w:r>
    </w:p>
    <w:p>
      <w:pPr>
        <w:jc w:val="center"/>
        <w:rPr>
          <w:b/>
          <w:sz w:val="72"/>
        </w:rPr>
      </w:pPr>
    </w:p>
    <w:p>
      <w:pPr>
        <w:jc w:val="center"/>
        <w:rPr>
          <w:b/>
          <w:sz w:val="72"/>
        </w:rPr>
      </w:pPr>
    </w:p>
    <w:p>
      <w:pPr>
        <w:jc w:val="center"/>
        <w:rPr>
          <w:b/>
          <w:sz w:val="72"/>
        </w:rPr>
      </w:pPr>
    </w:p>
    <w:p>
      <w:pPr>
        <w:jc w:val="center"/>
        <w:rPr>
          <w:b/>
          <w:sz w:val="72"/>
        </w:rPr>
      </w:pPr>
      <w:r>
        <w:rPr>
          <w:rFonts w:hint="eastAsia"/>
          <w:b/>
          <w:sz w:val="72"/>
        </w:rPr>
        <w:t>品牌入库</w:t>
      </w:r>
    </w:p>
    <w:p>
      <w:pPr>
        <w:jc w:val="center"/>
        <w:rPr>
          <w:b/>
          <w:sz w:val="72"/>
        </w:rPr>
      </w:pPr>
      <w:r>
        <w:rPr>
          <w:rFonts w:hint="eastAsia"/>
          <w:b/>
          <w:sz w:val="72"/>
        </w:rPr>
        <w:t>登记资料</w:t>
      </w:r>
    </w:p>
    <w:p>
      <w:pPr>
        <w:jc w:val="center"/>
        <w:rPr>
          <w:b/>
          <w:sz w:val="72"/>
        </w:rPr>
      </w:pPr>
    </w:p>
    <w:p>
      <w:pPr>
        <w:jc w:val="center"/>
        <w:rPr>
          <w:b/>
          <w:sz w:val="72"/>
        </w:rPr>
      </w:pPr>
    </w:p>
    <w:p>
      <w:pPr>
        <w:jc w:val="center"/>
        <w:rPr>
          <w:b/>
          <w:sz w:val="32"/>
          <w:szCs w:val="32"/>
        </w:rPr>
      </w:pPr>
      <w:r>
        <w:rPr>
          <w:rFonts w:hint="eastAsia"/>
          <w:b/>
          <w:sz w:val="44"/>
          <w:szCs w:val="44"/>
        </w:rPr>
        <w:t>（</w:t>
      </w:r>
      <w:r>
        <w:rPr>
          <w:rFonts w:hint="eastAsia"/>
          <w:b/>
          <w:sz w:val="32"/>
          <w:szCs w:val="32"/>
        </w:rPr>
        <w:t>备注：纸质装订成册两套，正本一套、副本一套；</w:t>
      </w:r>
    </w:p>
    <w:p>
      <w:pPr>
        <w:jc w:val="center"/>
        <w:rPr>
          <w:b/>
          <w:sz w:val="44"/>
          <w:szCs w:val="44"/>
        </w:rPr>
      </w:pPr>
      <w:r>
        <w:rPr>
          <w:rFonts w:hint="eastAsia"/>
          <w:b/>
          <w:sz w:val="32"/>
          <w:szCs w:val="32"/>
        </w:rPr>
        <w:t>电子版一份；电子版与纸质资料须同步送至我司</w:t>
      </w:r>
      <w:r>
        <w:rPr>
          <w:rFonts w:hint="eastAsia"/>
          <w:b/>
          <w:sz w:val="44"/>
          <w:szCs w:val="44"/>
        </w:rPr>
        <w:t>）</w:t>
      </w:r>
    </w:p>
    <w:p>
      <w:pPr>
        <w:jc w:val="center"/>
        <w:rPr>
          <w:b/>
          <w:sz w:val="72"/>
        </w:rPr>
      </w:pPr>
    </w:p>
    <w:p>
      <w:pPr>
        <w:jc w:val="center"/>
        <w:rPr>
          <w:b/>
          <w:sz w:val="36"/>
        </w:rPr>
      </w:pPr>
    </w:p>
    <w:p>
      <w:pPr>
        <w:jc w:val="center"/>
        <w:rPr>
          <w:b/>
          <w:sz w:val="36"/>
        </w:rPr>
      </w:pPr>
    </w:p>
    <w:p>
      <w:pPr>
        <w:ind w:firstLine="1084" w:firstLineChars="300"/>
        <w:rPr>
          <w:b/>
          <w:sz w:val="36"/>
        </w:rPr>
      </w:pPr>
    </w:p>
    <w:p>
      <w:pPr>
        <w:ind w:firstLine="1084" w:firstLineChars="300"/>
        <w:rPr>
          <w:b/>
          <w:sz w:val="36"/>
        </w:rPr>
      </w:pPr>
    </w:p>
    <w:p>
      <w:pPr>
        <w:rPr>
          <w:b/>
          <w:sz w:val="36"/>
          <w:u w:val="single"/>
        </w:rPr>
      </w:pPr>
      <w:r>
        <w:rPr>
          <w:rFonts w:hint="eastAsia"/>
          <w:b/>
          <w:sz w:val="36"/>
        </w:rPr>
        <w:t>公司名称：</w:t>
      </w:r>
      <w:r>
        <w:rPr>
          <w:b/>
          <w:sz w:val="36"/>
          <w:u w:val="single"/>
        </w:rPr>
        <w:t xml:space="preserve">                                </w:t>
      </w:r>
    </w:p>
    <w:p>
      <w:pPr>
        <w:rPr>
          <w:b/>
          <w:sz w:val="36"/>
        </w:rPr>
      </w:pPr>
      <w:r>
        <w:rPr>
          <w:rFonts w:hint="eastAsia"/>
          <w:b/>
          <w:sz w:val="36"/>
        </w:rPr>
        <w:t>申请入库品牌及品类：</w:t>
      </w:r>
      <w:r>
        <w:rPr>
          <w:b/>
          <w:sz w:val="36"/>
          <w:u w:val="single"/>
        </w:rPr>
        <w:t xml:space="preserve">                      </w:t>
      </w:r>
    </w:p>
    <w:p>
      <w:pPr>
        <w:rPr>
          <w:b/>
          <w:sz w:val="36"/>
          <w:u w:val="single"/>
        </w:rPr>
      </w:pPr>
      <w:r>
        <w:rPr>
          <w:rFonts w:hint="eastAsia"/>
          <w:b/>
          <w:sz w:val="36"/>
        </w:rPr>
        <w:t>登记时间：</w:t>
      </w:r>
      <w:r>
        <w:rPr>
          <w:b/>
          <w:sz w:val="36"/>
          <w:u w:val="single"/>
        </w:rPr>
        <w:t xml:space="preserve">                                </w:t>
      </w:r>
    </w:p>
    <w:p>
      <w:pPr>
        <w:pStyle w:val="13"/>
        <w:jc w:val="left"/>
        <w:rPr>
          <w:rFonts w:hAnsi="宋体"/>
          <w:b/>
          <w:sz w:val="24"/>
        </w:rPr>
      </w:pPr>
    </w:p>
    <w:p>
      <w:pPr>
        <w:pStyle w:val="3"/>
        <w:snapToGrid w:val="0"/>
        <w:spacing w:line="420" w:lineRule="atLeast"/>
        <w:ind w:firstLine="0"/>
        <w:jc w:val="center"/>
        <w:rPr>
          <w:rFonts w:ascii="宋体" w:hAnsi="宋体"/>
          <w:b/>
          <w:bCs/>
          <w:sz w:val="36"/>
          <w:szCs w:val="36"/>
        </w:rPr>
      </w:pPr>
      <w:r>
        <w:rPr>
          <w:rFonts w:hint="eastAsia" w:ascii="宋体" w:hAnsi="宋体"/>
          <w:b/>
          <w:bCs/>
          <w:sz w:val="36"/>
          <w:szCs w:val="36"/>
        </w:rPr>
        <w:t>目</w:t>
      </w:r>
      <w:r>
        <w:rPr>
          <w:rFonts w:ascii="宋体" w:hAnsi="宋体"/>
          <w:b/>
          <w:bCs/>
          <w:sz w:val="36"/>
          <w:szCs w:val="36"/>
        </w:rPr>
        <w:t xml:space="preserve">    </w:t>
      </w:r>
      <w:r>
        <w:rPr>
          <w:rFonts w:hint="eastAsia" w:ascii="宋体" w:hAnsi="宋体"/>
          <w:b/>
          <w:bCs/>
          <w:sz w:val="36"/>
          <w:szCs w:val="36"/>
        </w:rPr>
        <w:t>录</w:t>
      </w:r>
    </w:p>
    <w:p>
      <w:pPr>
        <w:spacing w:line="360" w:lineRule="auto"/>
        <w:rPr>
          <w:sz w:val="24"/>
          <w:szCs w:val="24"/>
        </w:rPr>
      </w:pPr>
    </w:p>
    <w:p>
      <w:pPr>
        <w:spacing w:line="500" w:lineRule="exact"/>
        <w:rPr>
          <w:b/>
          <w:sz w:val="24"/>
          <w:szCs w:val="24"/>
        </w:rPr>
      </w:pPr>
      <w:r>
        <w:rPr>
          <w:b/>
          <w:sz w:val="24"/>
          <w:szCs w:val="24"/>
        </w:rPr>
        <w:t xml:space="preserve">1. </w:t>
      </w:r>
      <w:r>
        <w:rPr>
          <w:rFonts w:hint="eastAsia"/>
          <w:b/>
          <w:sz w:val="24"/>
          <w:szCs w:val="24"/>
        </w:rPr>
        <w:t>品牌入库综合评审表页码对应索引表</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spacing w:line="500" w:lineRule="exact"/>
        <w:rPr>
          <w:b/>
          <w:sz w:val="24"/>
          <w:szCs w:val="24"/>
        </w:rPr>
      </w:pPr>
      <w:r>
        <w:rPr>
          <w:b/>
          <w:sz w:val="24"/>
          <w:szCs w:val="24"/>
        </w:rPr>
        <w:t xml:space="preserve">2. </w:t>
      </w:r>
      <w:r>
        <w:rPr>
          <w:rFonts w:hint="eastAsia"/>
          <w:b/>
          <w:sz w:val="24"/>
          <w:szCs w:val="24"/>
        </w:rPr>
        <w:t>品牌基本信息登记表</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widowControl/>
        <w:spacing w:line="500" w:lineRule="exact"/>
        <w:rPr>
          <w:b/>
          <w:sz w:val="24"/>
          <w:szCs w:val="24"/>
        </w:rPr>
      </w:pPr>
      <w:r>
        <w:rPr>
          <w:b/>
          <w:sz w:val="24"/>
          <w:szCs w:val="24"/>
        </w:rPr>
        <w:t xml:space="preserve">3. </w:t>
      </w:r>
      <w:r>
        <w:rPr>
          <w:rFonts w:hint="eastAsia"/>
          <w:b/>
          <w:sz w:val="24"/>
          <w:szCs w:val="24"/>
        </w:rPr>
        <w:t>厂家承诺函</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widowControl/>
        <w:spacing w:line="500" w:lineRule="exact"/>
        <w:jc w:val="left"/>
        <w:rPr>
          <w:b/>
          <w:sz w:val="24"/>
          <w:szCs w:val="24"/>
        </w:rPr>
      </w:pPr>
      <w:r>
        <w:rPr>
          <w:b/>
          <w:sz w:val="24"/>
          <w:szCs w:val="24"/>
        </w:rPr>
        <w:t xml:space="preserve">4. </w:t>
      </w:r>
      <w:r>
        <w:rPr>
          <w:rFonts w:hint="eastAsia"/>
          <w:b/>
          <w:sz w:val="24"/>
          <w:szCs w:val="24"/>
        </w:rPr>
        <w:t xml:space="preserve">厂家授权证明（若为代理商须提供） </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widowControl/>
        <w:spacing w:line="500" w:lineRule="exact"/>
        <w:rPr>
          <w:b/>
          <w:sz w:val="24"/>
          <w:szCs w:val="24"/>
        </w:rPr>
      </w:pPr>
      <w:r>
        <w:rPr>
          <w:b/>
          <w:sz w:val="24"/>
          <w:szCs w:val="24"/>
        </w:rPr>
        <w:t>5.</w:t>
      </w:r>
      <w:r>
        <w:rPr>
          <w:rFonts w:hint="eastAsia"/>
          <w:b/>
          <w:sz w:val="24"/>
          <w:szCs w:val="24"/>
        </w:rPr>
        <w:t xml:space="preserve"> 厂家营业执照（含代理商营业执照）</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widowControl/>
        <w:spacing w:line="500" w:lineRule="exact"/>
        <w:jc w:val="left"/>
        <w:rPr>
          <w:b/>
          <w:sz w:val="24"/>
          <w:szCs w:val="24"/>
        </w:rPr>
      </w:pPr>
      <w:r>
        <w:rPr>
          <w:b/>
          <w:sz w:val="24"/>
          <w:szCs w:val="24"/>
        </w:rPr>
        <w:t>6.</w:t>
      </w:r>
      <w:r>
        <w:rPr>
          <w:rFonts w:hint="eastAsia"/>
          <w:b/>
          <w:sz w:val="24"/>
          <w:szCs w:val="24"/>
        </w:rPr>
        <w:t xml:space="preserve"> 生产规模、生产能力</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widowControl/>
        <w:spacing w:line="500" w:lineRule="exact"/>
        <w:jc w:val="left"/>
        <w:rPr>
          <w:b/>
          <w:sz w:val="24"/>
          <w:szCs w:val="24"/>
        </w:rPr>
      </w:pPr>
      <w:r>
        <w:rPr>
          <w:b/>
          <w:sz w:val="24"/>
          <w:szCs w:val="24"/>
        </w:rPr>
        <w:t xml:space="preserve">7. </w:t>
      </w:r>
      <w:r>
        <w:rPr>
          <w:rFonts w:hint="eastAsia"/>
          <w:b/>
          <w:sz w:val="24"/>
          <w:szCs w:val="24"/>
        </w:rPr>
        <w:t>参与技术编制情况</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widowControl/>
        <w:spacing w:line="500" w:lineRule="exact"/>
        <w:jc w:val="left"/>
        <w:rPr>
          <w:b/>
          <w:sz w:val="24"/>
          <w:szCs w:val="24"/>
        </w:rPr>
      </w:pPr>
      <w:r>
        <w:rPr>
          <w:b/>
          <w:sz w:val="24"/>
          <w:szCs w:val="24"/>
        </w:rPr>
        <w:t xml:space="preserve">8. </w:t>
      </w:r>
      <w:r>
        <w:rPr>
          <w:rFonts w:hint="eastAsia"/>
          <w:b/>
          <w:sz w:val="24"/>
          <w:szCs w:val="24"/>
        </w:rPr>
        <w:t xml:space="preserve">企业的财务状况 </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spacing w:line="500" w:lineRule="exact"/>
        <w:rPr>
          <w:b/>
          <w:sz w:val="24"/>
          <w:szCs w:val="24"/>
        </w:rPr>
      </w:pPr>
      <w:r>
        <w:rPr>
          <w:b/>
          <w:sz w:val="24"/>
          <w:szCs w:val="24"/>
        </w:rPr>
        <w:t xml:space="preserve">9. </w:t>
      </w:r>
      <w:r>
        <w:rPr>
          <w:rFonts w:hint="eastAsia"/>
          <w:b/>
          <w:sz w:val="24"/>
          <w:szCs w:val="24"/>
        </w:rPr>
        <w:t>资信等级</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spacing w:line="500" w:lineRule="exact"/>
        <w:rPr>
          <w:b/>
          <w:sz w:val="24"/>
          <w:szCs w:val="24"/>
        </w:rPr>
      </w:pPr>
      <w:r>
        <w:rPr>
          <w:b/>
          <w:sz w:val="24"/>
          <w:szCs w:val="24"/>
        </w:rPr>
        <w:t xml:space="preserve">10. </w:t>
      </w:r>
      <w:r>
        <w:rPr>
          <w:rFonts w:hint="eastAsia"/>
          <w:b/>
          <w:sz w:val="24"/>
          <w:szCs w:val="24"/>
        </w:rPr>
        <w:t>企业守信</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spacing w:line="500" w:lineRule="exact"/>
        <w:rPr>
          <w:b/>
          <w:sz w:val="24"/>
          <w:szCs w:val="24"/>
        </w:rPr>
      </w:pPr>
      <w:r>
        <w:rPr>
          <w:b/>
          <w:sz w:val="24"/>
          <w:szCs w:val="24"/>
        </w:rPr>
        <w:t xml:space="preserve">11. </w:t>
      </w:r>
      <w:r>
        <w:rPr>
          <w:rFonts w:hint="eastAsia"/>
          <w:b/>
          <w:sz w:val="24"/>
          <w:szCs w:val="24"/>
        </w:rPr>
        <w:t>注册商标、驰名商标</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spacing w:line="500" w:lineRule="exact"/>
        <w:jc w:val="left"/>
        <w:rPr>
          <w:b/>
          <w:sz w:val="24"/>
          <w:szCs w:val="24"/>
        </w:rPr>
      </w:pPr>
      <w:r>
        <w:rPr>
          <w:b/>
          <w:sz w:val="24"/>
          <w:szCs w:val="24"/>
        </w:rPr>
        <w:t xml:space="preserve">12. </w:t>
      </w:r>
      <w:r>
        <w:rPr>
          <w:rFonts w:hint="eastAsia"/>
          <w:b/>
          <w:sz w:val="24"/>
          <w:szCs w:val="24"/>
        </w:rPr>
        <w:t>福建省内有自行成立的公司或代理公司</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spacing w:line="500" w:lineRule="exact"/>
        <w:rPr>
          <w:b/>
          <w:sz w:val="24"/>
          <w:szCs w:val="24"/>
        </w:rPr>
      </w:pPr>
      <w:r>
        <w:rPr>
          <w:b/>
          <w:sz w:val="24"/>
          <w:szCs w:val="24"/>
        </w:rPr>
        <w:t xml:space="preserve">13. </w:t>
      </w:r>
      <w:r>
        <w:rPr>
          <w:rFonts w:hint="eastAsia"/>
          <w:b/>
          <w:sz w:val="24"/>
          <w:szCs w:val="24"/>
        </w:rPr>
        <w:t>产品制造工艺流程</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spacing w:line="500" w:lineRule="exact"/>
        <w:rPr>
          <w:b/>
          <w:sz w:val="24"/>
          <w:szCs w:val="24"/>
        </w:rPr>
      </w:pPr>
      <w:r>
        <w:rPr>
          <w:b/>
          <w:sz w:val="24"/>
          <w:szCs w:val="24"/>
        </w:rPr>
        <w:t xml:space="preserve">14. </w:t>
      </w:r>
      <w:r>
        <w:rPr>
          <w:rFonts w:hint="eastAsia"/>
          <w:b/>
          <w:sz w:val="24"/>
          <w:szCs w:val="24"/>
        </w:rPr>
        <w:t>产品技术参数</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spacing w:line="500" w:lineRule="exact"/>
        <w:rPr>
          <w:b/>
          <w:sz w:val="24"/>
          <w:szCs w:val="24"/>
        </w:rPr>
      </w:pPr>
      <w:r>
        <w:rPr>
          <w:b/>
          <w:sz w:val="24"/>
          <w:szCs w:val="24"/>
        </w:rPr>
        <w:t xml:space="preserve">15. </w:t>
      </w:r>
      <w:r>
        <w:rPr>
          <w:rFonts w:hint="eastAsia"/>
          <w:b/>
          <w:sz w:val="24"/>
          <w:szCs w:val="24"/>
        </w:rPr>
        <w:t xml:space="preserve">产品系列全面性 </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spacing w:line="500" w:lineRule="exact"/>
        <w:rPr>
          <w:b/>
          <w:sz w:val="24"/>
          <w:szCs w:val="24"/>
        </w:rPr>
      </w:pPr>
      <w:r>
        <w:rPr>
          <w:b/>
          <w:sz w:val="24"/>
          <w:szCs w:val="24"/>
        </w:rPr>
        <w:t xml:space="preserve">16. </w:t>
      </w:r>
      <w:r>
        <w:rPr>
          <w:rFonts w:hint="eastAsia"/>
          <w:b/>
          <w:sz w:val="24"/>
          <w:szCs w:val="24"/>
        </w:rPr>
        <w:t xml:space="preserve">企业生产的产品质量 </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adjustRightInd w:val="0"/>
        <w:snapToGrid w:val="0"/>
        <w:spacing w:line="500" w:lineRule="exact"/>
        <w:rPr>
          <w:b/>
          <w:sz w:val="24"/>
          <w:szCs w:val="24"/>
        </w:rPr>
      </w:pPr>
      <w:r>
        <w:rPr>
          <w:b/>
          <w:sz w:val="24"/>
          <w:szCs w:val="24"/>
        </w:rPr>
        <w:t xml:space="preserve">17. </w:t>
      </w:r>
      <w:r>
        <w:rPr>
          <w:rFonts w:hint="eastAsia"/>
          <w:b/>
          <w:sz w:val="24"/>
          <w:szCs w:val="24"/>
        </w:rPr>
        <w:t xml:space="preserve">企业管理体系认证 </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adjustRightInd w:val="0"/>
        <w:snapToGrid w:val="0"/>
        <w:spacing w:line="500" w:lineRule="exact"/>
        <w:rPr>
          <w:b/>
          <w:sz w:val="24"/>
          <w:szCs w:val="24"/>
        </w:rPr>
      </w:pPr>
      <w:r>
        <w:rPr>
          <w:b/>
          <w:sz w:val="24"/>
          <w:szCs w:val="24"/>
        </w:rPr>
        <w:t xml:space="preserve">18. </w:t>
      </w:r>
      <w:r>
        <w:rPr>
          <w:rFonts w:hint="eastAsia"/>
          <w:b/>
          <w:sz w:val="24"/>
          <w:szCs w:val="24"/>
        </w:rPr>
        <w:t xml:space="preserve">专利证书 </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adjustRightInd w:val="0"/>
        <w:snapToGrid w:val="0"/>
        <w:spacing w:line="500" w:lineRule="exact"/>
        <w:rPr>
          <w:b/>
          <w:sz w:val="24"/>
          <w:szCs w:val="24"/>
        </w:rPr>
      </w:pPr>
      <w:r>
        <w:rPr>
          <w:rFonts w:hint="eastAsia"/>
          <w:b/>
          <w:sz w:val="24"/>
          <w:szCs w:val="24"/>
        </w:rPr>
        <w:t>1</w:t>
      </w:r>
      <w:r>
        <w:rPr>
          <w:b/>
          <w:sz w:val="24"/>
          <w:szCs w:val="24"/>
        </w:rPr>
        <w:t xml:space="preserve">9. </w:t>
      </w:r>
      <w:r>
        <w:rPr>
          <w:rFonts w:hint="eastAsia"/>
          <w:b/>
          <w:sz w:val="24"/>
          <w:szCs w:val="24"/>
        </w:rPr>
        <w:t xml:space="preserve">企业证书及获奖 </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adjustRightInd w:val="0"/>
        <w:snapToGrid w:val="0"/>
        <w:spacing w:line="500" w:lineRule="exact"/>
        <w:rPr>
          <w:b/>
          <w:sz w:val="24"/>
          <w:szCs w:val="24"/>
        </w:rPr>
      </w:pPr>
      <w:r>
        <w:rPr>
          <w:rFonts w:hint="eastAsia"/>
          <w:b/>
          <w:sz w:val="24"/>
          <w:szCs w:val="24"/>
        </w:rPr>
        <w:t>2</w:t>
      </w:r>
      <w:r>
        <w:rPr>
          <w:b/>
          <w:sz w:val="24"/>
          <w:szCs w:val="24"/>
        </w:rPr>
        <w:t xml:space="preserve">0. </w:t>
      </w:r>
      <w:r>
        <w:rPr>
          <w:rFonts w:hint="eastAsia"/>
          <w:b/>
          <w:sz w:val="24"/>
          <w:szCs w:val="24"/>
        </w:rPr>
        <w:t xml:space="preserve">企业生产的产品报价 </w:t>
      </w:r>
      <w:r>
        <w:rPr>
          <w:b/>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adjustRightInd w:val="0"/>
        <w:snapToGrid w:val="0"/>
        <w:spacing w:line="500" w:lineRule="exact"/>
        <w:rPr>
          <w:sz w:val="24"/>
          <w:szCs w:val="24"/>
        </w:rPr>
      </w:pPr>
      <w:r>
        <w:rPr>
          <w:rFonts w:hint="eastAsia"/>
          <w:b/>
          <w:sz w:val="24"/>
          <w:szCs w:val="24"/>
        </w:rPr>
        <w:t>2</w:t>
      </w:r>
      <w:r>
        <w:rPr>
          <w:b/>
          <w:sz w:val="24"/>
          <w:szCs w:val="24"/>
        </w:rPr>
        <w:t xml:space="preserve">1. </w:t>
      </w:r>
      <w:r>
        <w:rPr>
          <w:rFonts w:hint="eastAsia"/>
          <w:b/>
          <w:sz w:val="24"/>
          <w:szCs w:val="24"/>
        </w:rPr>
        <w:t xml:space="preserve">近五年的产品业绩情况 </w:t>
      </w:r>
      <w:r>
        <w:rPr>
          <w:sz w:val="24"/>
          <w:szCs w:val="24"/>
        </w:rPr>
        <w:t xml:space="preserve">                                 </w:t>
      </w:r>
      <w:r>
        <w:rPr>
          <w:rFonts w:hint="eastAsia"/>
          <w:b/>
          <w:sz w:val="24"/>
          <w:szCs w:val="24"/>
        </w:rPr>
        <w:t>第</w:t>
      </w:r>
      <w:r>
        <w:rPr>
          <w:b/>
          <w:sz w:val="24"/>
          <w:szCs w:val="24"/>
        </w:rPr>
        <w:t xml:space="preserve">  </w:t>
      </w:r>
      <w:r>
        <w:rPr>
          <w:rFonts w:hint="eastAsia"/>
          <w:b/>
          <w:sz w:val="24"/>
          <w:szCs w:val="24"/>
        </w:rPr>
        <w:t>页</w:t>
      </w:r>
    </w:p>
    <w:p>
      <w:pPr>
        <w:adjustRightInd w:val="0"/>
        <w:snapToGrid w:val="0"/>
        <w:spacing w:line="500" w:lineRule="exact"/>
        <w:rPr>
          <w:sz w:val="24"/>
          <w:szCs w:val="24"/>
        </w:rPr>
      </w:pPr>
    </w:p>
    <w:p>
      <w:pPr>
        <w:adjustRightInd w:val="0"/>
        <w:snapToGrid w:val="0"/>
        <w:spacing w:line="500" w:lineRule="exact"/>
      </w:pPr>
    </w:p>
    <w:p>
      <w:pPr>
        <w:adjustRightInd w:val="0"/>
        <w:snapToGrid w:val="0"/>
        <w:spacing w:line="500" w:lineRule="exact"/>
      </w:pPr>
    </w:p>
    <w:p>
      <w:pPr>
        <w:adjustRightInd w:val="0"/>
        <w:snapToGrid w:val="0"/>
        <w:spacing w:line="500" w:lineRule="exact"/>
      </w:pPr>
    </w:p>
    <w:p>
      <w:pPr>
        <w:adjustRightInd w:val="0"/>
        <w:snapToGrid w:val="0"/>
        <w:spacing w:line="480" w:lineRule="auto"/>
      </w:pPr>
    </w:p>
    <w:p>
      <w:pPr>
        <w:adjustRightInd w:val="0"/>
        <w:snapToGrid w:val="0"/>
        <w:spacing w:line="480" w:lineRule="auto"/>
      </w:pPr>
    </w:p>
    <w:p>
      <w:pPr>
        <w:adjustRightInd w:val="0"/>
        <w:snapToGrid w:val="0"/>
        <w:spacing w:line="480" w:lineRule="auto"/>
        <w:ind w:firstLine="646" w:firstLineChars="201"/>
        <w:rPr>
          <w:rFonts w:asciiTheme="minorEastAsia" w:hAnsiTheme="minorEastAsia"/>
          <w:b/>
          <w:sz w:val="28"/>
          <w:szCs w:val="28"/>
        </w:rPr>
      </w:pPr>
      <w:r>
        <w:rPr>
          <w:rFonts w:hint="eastAsia" w:asciiTheme="minorEastAsia" w:hAnsiTheme="minorEastAsia"/>
          <w:b/>
          <w:sz w:val="32"/>
          <w:szCs w:val="32"/>
        </w:rPr>
        <w:t>提醒说明：</w:t>
      </w:r>
      <w:r>
        <w:rPr>
          <w:rFonts w:hint="eastAsia" w:asciiTheme="minorEastAsia" w:hAnsiTheme="minorEastAsia"/>
          <w:b/>
          <w:sz w:val="28"/>
          <w:szCs w:val="28"/>
        </w:rPr>
        <w:t>要求厂家提供入库审核资料如下（星号条款为必须提供项，若无提供不得入库）：</w:t>
      </w:r>
    </w:p>
    <w:p>
      <w:pPr>
        <w:adjustRightInd w:val="0"/>
        <w:snapToGrid w:val="0"/>
        <w:spacing w:line="480" w:lineRule="auto"/>
        <w:ind w:left="372" w:leftChars="177" w:firstLine="2"/>
        <w:rPr>
          <w:rFonts w:asciiTheme="minorEastAsia" w:hAnsiTheme="minorEastAsia"/>
          <w:b/>
          <w:sz w:val="28"/>
          <w:szCs w:val="28"/>
        </w:rPr>
      </w:pPr>
      <w:r>
        <w:rPr>
          <w:rFonts w:asciiTheme="minorEastAsia" w:hAnsiTheme="minorEastAsia"/>
          <w:b/>
          <w:sz w:val="28"/>
          <w:szCs w:val="28"/>
        </w:rPr>
        <w:t>*1、品牌入库综合评审表页码对应索引表；</w:t>
      </w:r>
    </w:p>
    <w:p>
      <w:pPr>
        <w:adjustRightInd w:val="0"/>
        <w:snapToGrid w:val="0"/>
        <w:spacing w:line="480" w:lineRule="auto"/>
        <w:ind w:left="372" w:leftChars="177" w:firstLine="2"/>
        <w:rPr>
          <w:rFonts w:ascii="黑体" w:eastAsia="黑体" w:cs="宋体"/>
          <w:b/>
          <w:bCs/>
          <w:kern w:val="0"/>
          <w:sz w:val="28"/>
          <w:szCs w:val="28"/>
        </w:rPr>
      </w:pPr>
      <w:r>
        <w:rPr>
          <w:rFonts w:asciiTheme="minorEastAsia" w:hAnsiTheme="minorEastAsia"/>
          <w:b/>
          <w:bCs/>
          <w:sz w:val="28"/>
          <w:szCs w:val="28"/>
        </w:rPr>
        <w:t>*2、厂家</w:t>
      </w:r>
      <w:r>
        <w:rPr>
          <w:rFonts w:hint="eastAsia" w:asciiTheme="minorEastAsia" w:hAnsiTheme="minorEastAsia"/>
          <w:b/>
          <w:sz w:val="28"/>
          <w:szCs w:val="28"/>
        </w:rPr>
        <w:t>营业执照复印件</w:t>
      </w:r>
      <w:r>
        <w:rPr>
          <w:rFonts w:hint="eastAsia" w:asciiTheme="minorEastAsia" w:hAnsiTheme="minorEastAsia"/>
          <w:b/>
          <w:bCs/>
          <w:sz w:val="28"/>
          <w:szCs w:val="28"/>
        </w:rPr>
        <w:t>；</w:t>
      </w:r>
    </w:p>
    <w:p>
      <w:pPr>
        <w:adjustRightInd w:val="0"/>
        <w:snapToGrid w:val="0"/>
        <w:spacing w:line="480" w:lineRule="auto"/>
        <w:ind w:left="372" w:leftChars="177" w:firstLine="2"/>
        <w:rPr>
          <w:rFonts w:asciiTheme="minorEastAsia" w:hAnsiTheme="minorEastAsia"/>
          <w:b/>
          <w:bCs/>
          <w:sz w:val="28"/>
          <w:szCs w:val="28"/>
        </w:rPr>
      </w:pPr>
      <w:r>
        <w:rPr>
          <w:rFonts w:asciiTheme="minorEastAsia" w:hAnsiTheme="minorEastAsia"/>
          <w:b/>
          <w:bCs/>
          <w:sz w:val="28"/>
          <w:szCs w:val="28"/>
        </w:rPr>
        <w:t>*3</w:t>
      </w:r>
      <w:r>
        <w:rPr>
          <w:rFonts w:hint="eastAsia" w:asciiTheme="minorEastAsia" w:hAnsiTheme="minorEastAsia"/>
          <w:b/>
          <w:bCs/>
          <w:sz w:val="28"/>
          <w:szCs w:val="28"/>
        </w:rPr>
        <w:t>、</w:t>
      </w:r>
      <w:r>
        <w:rPr>
          <w:rFonts w:hint="eastAsia" w:asciiTheme="minorEastAsia" w:hAnsiTheme="minorEastAsia"/>
          <w:b/>
          <w:sz w:val="28"/>
          <w:szCs w:val="28"/>
        </w:rPr>
        <w:t>品牌基本信息登记表（详见附件</w:t>
      </w:r>
      <w:r>
        <w:rPr>
          <w:rFonts w:asciiTheme="minorEastAsia" w:hAnsiTheme="minorEastAsia"/>
          <w:b/>
          <w:sz w:val="28"/>
          <w:szCs w:val="28"/>
        </w:rPr>
        <w:t>1）</w:t>
      </w:r>
      <w:r>
        <w:rPr>
          <w:rFonts w:hint="eastAsia" w:asciiTheme="minorEastAsia" w:hAnsiTheme="minorEastAsia"/>
          <w:b/>
          <w:bCs/>
          <w:sz w:val="28"/>
          <w:szCs w:val="28"/>
        </w:rPr>
        <w:t>；</w:t>
      </w:r>
    </w:p>
    <w:p>
      <w:pPr>
        <w:adjustRightInd w:val="0"/>
        <w:snapToGrid w:val="0"/>
        <w:spacing w:line="480" w:lineRule="auto"/>
        <w:ind w:left="372" w:leftChars="177" w:firstLine="2"/>
        <w:rPr>
          <w:rFonts w:asciiTheme="minorEastAsia" w:hAnsiTheme="minorEastAsia"/>
          <w:b/>
          <w:sz w:val="28"/>
          <w:szCs w:val="28"/>
        </w:rPr>
      </w:pPr>
      <w:r>
        <w:rPr>
          <w:rFonts w:asciiTheme="minorEastAsia" w:hAnsiTheme="minorEastAsia"/>
          <w:b/>
          <w:sz w:val="28"/>
          <w:szCs w:val="28"/>
        </w:rPr>
        <w:t>*4</w:t>
      </w:r>
      <w:r>
        <w:rPr>
          <w:rFonts w:hint="eastAsia" w:asciiTheme="minorEastAsia" w:hAnsiTheme="minorEastAsia"/>
          <w:b/>
          <w:sz w:val="28"/>
          <w:szCs w:val="28"/>
        </w:rPr>
        <w:t>、厂家承诺函（详见附</w:t>
      </w:r>
      <w:r>
        <w:rPr>
          <w:rFonts w:asciiTheme="minorEastAsia" w:hAnsiTheme="minorEastAsia"/>
          <w:b/>
          <w:sz w:val="28"/>
          <w:szCs w:val="28"/>
        </w:rPr>
        <w:t>2）、厂家授权证明</w:t>
      </w:r>
      <w:r>
        <w:rPr>
          <w:rFonts w:hint="eastAsia" w:asciiTheme="minorEastAsia" w:hAnsiTheme="minorEastAsia"/>
          <w:b/>
          <w:sz w:val="28"/>
          <w:szCs w:val="28"/>
        </w:rPr>
        <w:t>（若为代理商须提供）</w:t>
      </w:r>
      <w:r>
        <w:rPr>
          <w:rFonts w:asciiTheme="minorEastAsia" w:hAnsiTheme="minorEastAsia"/>
          <w:b/>
          <w:sz w:val="28"/>
          <w:szCs w:val="28"/>
        </w:rPr>
        <w:t>；</w:t>
      </w:r>
    </w:p>
    <w:p>
      <w:pPr>
        <w:adjustRightInd w:val="0"/>
        <w:snapToGrid w:val="0"/>
        <w:spacing w:line="480" w:lineRule="auto"/>
        <w:ind w:left="372" w:leftChars="177" w:firstLine="2"/>
        <w:rPr>
          <w:rFonts w:asciiTheme="minorEastAsia" w:hAnsiTheme="minorEastAsia"/>
          <w:sz w:val="28"/>
          <w:szCs w:val="28"/>
        </w:rPr>
      </w:pPr>
    </w:p>
    <w:p>
      <w:pPr>
        <w:adjustRightInd w:val="0"/>
        <w:snapToGrid w:val="0"/>
        <w:spacing w:line="480" w:lineRule="auto"/>
        <w:ind w:left="372" w:leftChars="177" w:firstLine="2"/>
        <w:rPr>
          <w:rFonts w:asciiTheme="minorEastAsia" w:hAnsiTheme="minorEastAsia"/>
          <w:sz w:val="28"/>
          <w:szCs w:val="28"/>
        </w:rPr>
      </w:pPr>
    </w:p>
    <w:p>
      <w:pPr>
        <w:adjustRightInd w:val="0"/>
        <w:snapToGrid w:val="0"/>
        <w:spacing w:line="480" w:lineRule="auto"/>
        <w:ind w:left="372" w:leftChars="177" w:firstLine="2"/>
        <w:rPr>
          <w:rFonts w:asciiTheme="minorEastAsia" w:hAnsiTheme="minorEastAsia"/>
          <w:sz w:val="28"/>
          <w:szCs w:val="28"/>
        </w:rPr>
      </w:pPr>
    </w:p>
    <w:p>
      <w:pPr>
        <w:adjustRightInd w:val="0"/>
        <w:snapToGrid w:val="0"/>
        <w:spacing w:line="480" w:lineRule="auto"/>
        <w:ind w:left="372" w:leftChars="177" w:firstLine="2"/>
        <w:rPr>
          <w:rFonts w:asciiTheme="minorEastAsia" w:hAnsiTheme="minorEastAsia"/>
          <w:sz w:val="28"/>
          <w:szCs w:val="28"/>
        </w:rPr>
      </w:pPr>
    </w:p>
    <w:p>
      <w:pPr>
        <w:adjustRightInd w:val="0"/>
        <w:snapToGrid w:val="0"/>
        <w:spacing w:line="480" w:lineRule="auto"/>
        <w:ind w:left="372" w:leftChars="177" w:firstLine="2"/>
        <w:rPr>
          <w:rFonts w:asciiTheme="minorEastAsia" w:hAnsiTheme="minorEastAsia"/>
          <w:sz w:val="28"/>
          <w:szCs w:val="28"/>
        </w:rPr>
      </w:pPr>
    </w:p>
    <w:p>
      <w:pPr>
        <w:adjustRightInd w:val="0"/>
        <w:snapToGrid w:val="0"/>
        <w:spacing w:line="480" w:lineRule="auto"/>
        <w:ind w:left="372" w:leftChars="177" w:firstLine="2"/>
        <w:rPr>
          <w:rFonts w:asciiTheme="minorEastAsia" w:hAnsiTheme="minorEastAsia"/>
          <w:sz w:val="28"/>
          <w:szCs w:val="28"/>
        </w:rPr>
      </w:pPr>
    </w:p>
    <w:p>
      <w:pPr>
        <w:adjustRightInd w:val="0"/>
        <w:snapToGrid w:val="0"/>
        <w:spacing w:line="480" w:lineRule="auto"/>
        <w:ind w:left="372" w:leftChars="177" w:firstLine="2"/>
        <w:rPr>
          <w:rFonts w:asciiTheme="minorEastAsia" w:hAnsiTheme="minorEastAsia"/>
          <w:sz w:val="28"/>
          <w:szCs w:val="28"/>
        </w:rPr>
      </w:pPr>
    </w:p>
    <w:p>
      <w:pPr>
        <w:adjustRightInd w:val="0"/>
        <w:snapToGrid w:val="0"/>
        <w:spacing w:line="480" w:lineRule="auto"/>
        <w:ind w:left="372" w:leftChars="177" w:firstLine="2"/>
        <w:rPr>
          <w:rFonts w:asciiTheme="minorEastAsia" w:hAnsiTheme="minorEastAsia"/>
          <w:sz w:val="28"/>
          <w:szCs w:val="28"/>
        </w:rPr>
      </w:pPr>
    </w:p>
    <w:p>
      <w:pPr>
        <w:adjustRightInd w:val="0"/>
        <w:snapToGrid w:val="0"/>
        <w:spacing w:line="480" w:lineRule="auto"/>
        <w:ind w:left="372" w:leftChars="177" w:firstLine="2"/>
        <w:rPr>
          <w:rFonts w:asciiTheme="minorEastAsia" w:hAnsiTheme="minorEastAsia"/>
          <w:sz w:val="28"/>
          <w:szCs w:val="28"/>
        </w:rPr>
      </w:pPr>
    </w:p>
    <w:p>
      <w:pPr>
        <w:adjustRightInd w:val="0"/>
        <w:snapToGrid w:val="0"/>
        <w:spacing w:line="480" w:lineRule="auto"/>
        <w:ind w:left="372" w:leftChars="177" w:firstLine="2"/>
        <w:rPr>
          <w:rFonts w:asciiTheme="minorEastAsia" w:hAnsiTheme="minorEastAsia"/>
          <w:sz w:val="28"/>
          <w:szCs w:val="28"/>
        </w:rPr>
      </w:pPr>
    </w:p>
    <w:p>
      <w:pPr>
        <w:adjustRightInd w:val="0"/>
        <w:snapToGrid w:val="0"/>
        <w:spacing w:line="480" w:lineRule="auto"/>
        <w:ind w:left="372" w:leftChars="177" w:firstLine="2"/>
        <w:rPr>
          <w:rFonts w:asciiTheme="minorEastAsia" w:hAnsiTheme="minorEastAsia"/>
          <w:sz w:val="28"/>
          <w:szCs w:val="28"/>
        </w:rPr>
      </w:pPr>
    </w:p>
    <w:p>
      <w:pPr>
        <w:adjustRightInd w:val="0"/>
        <w:snapToGrid w:val="0"/>
        <w:spacing w:line="480" w:lineRule="auto"/>
        <w:ind w:left="372" w:leftChars="177" w:firstLine="2"/>
        <w:rPr>
          <w:rFonts w:asciiTheme="minorEastAsia" w:hAnsiTheme="minorEastAsia"/>
          <w:sz w:val="28"/>
          <w:szCs w:val="28"/>
        </w:rPr>
      </w:pPr>
    </w:p>
    <w:p>
      <w:pPr>
        <w:adjustRightInd w:val="0"/>
        <w:snapToGrid w:val="0"/>
        <w:spacing w:line="480" w:lineRule="auto"/>
        <w:ind w:left="372" w:leftChars="177" w:firstLine="2"/>
        <w:rPr>
          <w:rFonts w:asciiTheme="minorEastAsia" w:hAnsiTheme="minorEastAsia"/>
          <w:sz w:val="28"/>
          <w:szCs w:val="28"/>
        </w:rPr>
      </w:pPr>
    </w:p>
    <w:p>
      <w:pPr>
        <w:adjustRightInd w:val="0"/>
        <w:snapToGrid w:val="0"/>
        <w:spacing w:line="480" w:lineRule="auto"/>
        <w:ind w:left="372" w:leftChars="177" w:firstLine="2"/>
        <w:rPr>
          <w:rFonts w:asciiTheme="minorEastAsia" w:hAnsiTheme="minorEastAsia"/>
          <w:sz w:val="28"/>
          <w:szCs w:val="28"/>
        </w:rPr>
      </w:pPr>
    </w:p>
    <w:p>
      <w:pPr>
        <w:adjustRightInd w:val="0"/>
        <w:snapToGrid w:val="0"/>
        <w:spacing w:line="480" w:lineRule="auto"/>
        <w:ind w:left="372" w:leftChars="177" w:firstLine="2"/>
        <w:rPr>
          <w:rFonts w:asciiTheme="minorEastAsia" w:hAnsiTheme="minorEastAsia"/>
          <w:sz w:val="28"/>
          <w:szCs w:val="28"/>
        </w:rPr>
      </w:pPr>
    </w:p>
    <w:p>
      <w:pPr>
        <w:adjustRightInd w:val="0"/>
        <w:snapToGrid w:val="0"/>
        <w:spacing w:line="480" w:lineRule="auto"/>
        <w:ind w:left="372" w:leftChars="177" w:firstLine="2"/>
        <w:rPr>
          <w:rFonts w:asciiTheme="minorEastAsia" w:hAnsiTheme="minorEastAsia"/>
          <w:sz w:val="28"/>
          <w:szCs w:val="28"/>
        </w:rPr>
      </w:pPr>
    </w:p>
    <w:p>
      <w:pPr>
        <w:adjustRightInd w:val="0"/>
        <w:snapToGrid w:val="0"/>
        <w:spacing w:line="480" w:lineRule="auto"/>
        <w:ind w:left="372" w:leftChars="177" w:firstLine="2"/>
        <w:rPr>
          <w:rFonts w:asciiTheme="minorEastAsia" w:hAnsiTheme="minorEastAsia"/>
          <w:sz w:val="28"/>
          <w:szCs w:val="28"/>
        </w:rPr>
      </w:pPr>
    </w:p>
    <w:p>
      <w:pPr>
        <w:adjustRightInd w:val="0"/>
        <w:snapToGrid w:val="0"/>
        <w:spacing w:line="480" w:lineRule="auto"/>
        <w:jc w:val="center"/>
        <w:rPr>
          <w:rFonts w:cs="宋体" w:asciiTheme="minorEastAsia" w:hAnsiTheme="minorEastAsia"/>
          <w:b/>
          <w:bCs/>
          <w:kern w:val="0"/>
          <w:sz w:val="28"/>
          <w:szCs w:val="28"/>
        </w:rPr>
      </w:pPr>
      <w:r>
        <w:rPr>
          <w:rFonts w:hint="eastAsia" w:cs="宋体" w:asciiTheme="minorEastAsia" w:hAnsiTheme="minorEastAsia"/>
          <w:b/>
          <w:bCs/>
          <w:kern w:val="0"/>
          <w:sz w:val="28"/>
          <w:szCs w:val="28"/>
        </w:rPr>
        <w:t>（一）、品牌入库综合评审表页码对应索引表</w:t>
      </w:r>
    </w:p>
    <w:tbl>
      <w:tblPr>
        <w:tblStyle w:val="7"/>
        <w:tblW w:w="93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
        <w:gridCol w:w="1150"/>
        <w:gridCol w:w="415"/>
        <w:gridCol w:w="3411"/>
        <w:gridCol w:w="3262"/>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bCs/>
                <w:kern w:val="0"/>
                <w:sz w:val="18"/>
                <w:szCs w:val="18"/>
              </w:rPr>
            </w:pPr>
            <w:r>
              <w:rPr>
                <w:rFonts w:hint="eastAsia" w:ascii="宋体" w:hAnsi="宋体"/>
                <w:b/>
                <w:bCs/>
                <w:kern w:val="0"/>
                <w:sz w:val="18"/>
                <w:szCs w:val="18"/>
              </w:rPr>
              <w:t>序号</w:t>
            </w:r>
          </w:p>
        </w:tc>
        <w:tc>
          <w:tcPr>
            <w:tcW w:w="1150" w:type="dxa"/>
            <w:tcBorders>
              <w:top w:val="single" w:color="auto" w:sz="4" w:space="0"/>
              <w:left w:val="nil"/>
              <w:bottom w:val="single" w:color="auto" w:sz="4" w:space="0"/>
              <w:right w:val="single" w:color="auto" w:sz="4" w:space="0"/>
            </w:tcBorders>
            <w:vAlign w:val="center"/>
          </w:tcPr>
          <w:p>
            <w:pPr>
              <w:widowControl/>
              <w:jc w:val="center"/>
              <w:rPr>
                <w:rFonts w:ascii="宋体" w:hAnsi="宋体"/>
                <w:b/>
                <w:bCs/>
                <w:kern w:val="0"/>
                <w:sz w:val="18"/>
                <w:szCs w:val="18"/>
              </w:rPr>
            </w:pPr>
            <w:r>
              <w:rPr>
                <w:rFonts w:hint="eastAsia" w:ascii="宋体" w:hAnsi="宋体"/>
                <w:b/>
                <w:bCs/>
                <w:kern w:val="0"/>
                <w:sz w:val="18"/>
                <w:szCs w:val="18"/>
              </w:rPr>
              <w:t>评分项目</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b/>
                <w:bCs/>
                <w:kern w:val="0"/>
                <w:sz w:val="18"/>
                <w:szCs w:val="18"/>
              </w:rPr>
            </w:pPr>
            <w:r>
              <w:rPr>
                <w:rFonts w:hint="eastAsia" w:ascii="宋体" w:hAnsi="宋体"/>
                <w:b/>
                <w:bCs/>
                <w:kern w:val="0"/>
                <w:sz w:val="18"/>
                <w:szCs w:val="18"/>
              </w:rPr>
              <w:t>分值</w:t>
            </w:r>
          </w:p>
        </w:tc>
        <w:tc>
          <w:tcPr>
            <w:tcW w:w="3411" w:type="dxa"/>
            <w:tcBorders>
              <w:top w:val="single" w:color="auto" w:sz="4" w:space="0"/>
              <w:left w:val="nil"/>
              <w:bottom w:val="single" w:color="auto" w:sz="4" w:space="0"/>
              <w:right w:val="single" w:color="auto" w:sz="4" w:space="0"/>
            </w:tcBorders>
            <w:vAlign w:val="center"/>
          </w:tcPr>
          <w:p>
            <w:pPr>
              <w:widowControl/>
              <w:jc w:val="center"/>
              <w:rPr>
                <w:rFonts w:ascii="宋体" w:hAnsi="宋体"/>
                <w:b/>
                <w:bCs/>
                <w:kern w:val="0"/>
                <w:sz w:val="18"/>
                <w:szCs w:val="18"/>
              </w:rPr>
            </w:pPr>
            <w:r>
              <w:rPr>
                <w:rFonts w:hint="eastAsia" w:ascii="宋体" w:hAnsi="宋体"/>
                <w:b/>
                <w:bCs/>
                <w:kern w:val="0"/>
                <w:sz w:val="18"/>
                <w:szCs w:val="18"/>
              </w:rPr>
              <w:t>评分标准</w:t>
            </w:r>
          </w:p>
        </w:tc>
        <w:tc>
          <w:tcPr>
            <w:tcW w:w="3262" w:type="dxa"/>
            <w:tcBorders>
              <w:top w:val="single" w:color="auto" w:sz="4" w:space="0"/>
              <w:left w:val="nil"/>
              <w:bottom w:val="single" w:color="auto" w:sz="4" w:space="0"/>
              <w:right w:val="single" w:color="auto" w:sz="4" w:space="0"/>
            </w:tcBorders>
            <w:vAlign w:val="center"/>
          </w:tcPr>
          <w:p>
            <w:pPr>
              <w:widowControl/>
              <w:jc w:val="center"/>
              <w:rPr>
                <w:rFonts w:ascii="宋体" w:hAnsi="宋体"/>
                <w:b/>
                <w:bCs/>
                <w:kern w:val="0"/>
                <w:sz w:val="18"/>
                <w:szCs w:val="18"/>
              </w:rPr>
            </w:pPr>
            <w:r>
              <w:rPr>
                <w:rFonts w:hint="eastAsia" w:ascii="宋体" w:hAnsi="宋体"/>
                <w:b/>
                <w:bCs/>
                <w:kern w:val="0"/>
                <w:sz w:val="18"/>
                <w:szCs w:val="18"/>
              </w:rPr>
              <w:t>评分依据说明</w:t>
            </w:r>
          </w:p>
        </w:tc>
        <w:tc>
          <w:tcPr>
            <w:tcW w:w="709" w:type="dxa"/>
            <w:tcBorders>
              <w:top w:val="single" w:color="auto" w:sz="4" w:space="0"/>
              <w:left w:val="nil"/>
              <w:bottom w:val="single" w:color="auto" w:sz="4" w:space="0"/>
              <w:right w:val="single" w:color="auto" w:sz="4" w:space="0"/>
            </w:tcBorders>
          </w:tcPr>
          <w:p>
            <w:pPr>
              <w:widowControl/>
              <w:jc w:val="center"/>
              <w:rPr>
                <w:rFonts w:ascii="宋体" w:hAnsi="宋体"/>
                <w:b/>
                <w:bCs/>
                <w:kern w:val="0"/>
                <w:sz w:val="18"/>
                <w:szCs w:val="18"/>
              </w:rPr>
            </w:pPr>
            <w:r>
              <w:rPr>
                <w:rFonts w:hint="eastAsia" w:ascii="宋体" w:hAnsi="宋体"/>
                <w:b/>
                <w:bCs/>
                <w:color w:val="FF0000"/>
                <w:kern w:val="0"/>
                <w:sz w:val="18"/>
                <w:szCs w:val="18"/>
              </w:rPr>
              <w:t>对应页码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bCs/>
                <w:kern w:val="0"/>
                <w:szCs w:val="21"/>
              </w:rPr>
            </w:pPr>
            <w:r>
              <w:rPr>
                <w:rFonts w:hint="eastAsia" w:ascii="宋体" w:hAnsi="宋体"/>
                <w:b/>
                <w:bCs/>
                <w:kern w:val="0"/>
              </w:rPr>
              <w:t>一</w:t>
            </w:r>
          </w:p>
        </w:tc>
        <w:tc>
          <w:tcPr>
            <w:tcW w:w="8238" w:type="dxa"/>
            <w:gridSpan w:val="4"/>
            <w:tcBorders>
              <w:top w:val="single" w:color="auto" w:sz="4" w:space="0"/>
              <w:left w:val="nil"/>
              <w:bottom w:val="single" w:color="auto" w:sz="4" w:space="0"/>
              <w:right w:val="single" w:color="auto" w:sz="4" w:space="0"/>
            </w:tcBorders>
            <w:vAlign w:val="center"/>
          </w:tcPr>
          <w:p>
            <w:pPr>
              <w:widowControl/>
              <w:jc w:val="left"/>
              <w:rPr>
                <w:rFonts w:ascii="宋体" w:hAnsi="宋体"/>
                <w:b/>
                <w:bCs/>
                <w:kern w:val="0"/>
              </w:rPr>
            </w:pPr>
            <w:r>
              <w:rPr>
                <w:rFonts w:hint="eastAsia" w:ascii="宋体" w:hAnsi="宋体"/>
                <w:b/>
                <w:bCs/>
                <w:kern w:val="0"/>
              </w:rPr>
              <w:t>企业基本情况（33分）</w:t>
            </w:r>
          </w:p>
        </w:tc>
        <w:tc>
          <w:tcPr>
            <w:tcW w:w="709" w:type="dxa"/>
            <w:tcBorders>
              <w:top w:val="single" w:color="auto" w:sz="4" w:space="0"/>
              <w:left w:val="nil"/>
              <w:bottom w:val="single" w:color="auto" w:sz="4" w:space="0"/>
              <w:right w:val="single" w:color="auto" w:sz="4" w:space="0"/>
            </w:tcBorders>
          </w:tcPr>
          <w:p>
            <w:pPr>
              <w:widowControl/>
              <w:jc w:val="left"/>
              <w:rPr>
                <w:rFonts w:ascii="宋体" w:hAnsi="宋体"/>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1</w:t>
            </w:r>
          </w:p>
        </w:tc>
        <w:tc>
          <w:tcPr>
            <w:tcW w:w="1150"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注册资本</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10</w:t>
            </w:r>
          </w:p>
        </w:tc>
        <w:tc>
          <w:tcPr>
            <w:tcW w:w="3411"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注册资本金为50万元-100万元(含50万元)得4分；注册资本金为100万元-1000万元(含100万元)得6分;1000万元-5000万元(含1000万元)得8分;5000万元及以上的得10分;其余不得分。</w:t>
            </w:r>
          </w:p>
        </w:tc>
        <w:tc>
          <w:tcPr>
            <w:tcW w:w="3262"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提供营业执照复印件或其他相关证明资料。</w:t>
            </w:r>
          </w:p>
        </w:tc>
        <w:tc>
          <w:tcPr>
            <w:tcW w:w="709" w:type="dxa"/>
            <w:tcBorders>
              <w:top w:val="single" w:color="auto" w:sz="4" w:space="0"/>
              <w:left w:val="nil"/>
              <w:bottom w:val="single" w:color="auto" w:sz="4" w:space="0"/>
              <w:right w:val="single" w:color="auto" w:sz="4" w:space="0"/>
            </w:tcBorders>
          </w:tcPr>
          <w:p>
            <w:pPr>
              <w:widowControl/>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2</w:t>
            </w:r>
          </w:p>
        </w:tc>
        <w:tc>
          <w:tcPr>
            <w:tcW w:w="1150"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生产规模、生产能力</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6</w:t>
            </w:r>
          </w:p>
        </w:tc>
        <w:tc>
          <w:tcPr>
            <w:tcW w:w="3411"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根据工厂规模和生产能力进行评分：优得6分，良得4分，一般得2分，差不得分。</w:t>
            </w:r>
          </w:p>
        </w:tc>
        <w:tc>
          <w:tcPr>
            <w:tcW w:w="3262"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提供工厂规模到生产流程整体的图片或实地拍摄视频及相关企业介绍进行评分：体现规模和生产能力强得优；比较清楚体现规模和生产能力较好得良；体现规模和生产能力较一般为一般；未能体现规模和生产能力为差。</w:t>
            </w:r>
          </w:p>
        </w:tc>
        <w:tc>
          <w:tcPr>
            <w:tcW w:w="709" w:type="dxa"/>
            <w:tcBorders>
              <w:top w:val="single" w:color="auto" w:sz="4" w:space="0"/>
              <w:left w:val="nil"/>
              <w:bottom w:val="single" w:color="auto" w:sz="4" w:space="0"/>
              <w:right w:val="single" w:color="auto" w:sz="4" w:space="0"/>
            </w:tcBorders>
          </w:tcPr>
          <w:p>
            <w:pPr>
              <w:widowControl/>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3</w:t>
            </w:r>
          </w:p>
        </w:tc>
        <w:tc>
          <w:tcPr>
            <w:tcW w:w="1150"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参与技术编</w:t>
            </w:r>
          </w:p>
          <w:p>
            <w:pPr>
              <w:widowControl/>
              <w:jc w:val="left"/>
              <w:rPr>
                <w:rFonts w:ascii="宋体" w:hAnsi="宋体"/>
                <w:kern w:val="0"/>
                <w:sz w:val="18"/>
                <w:szCs w:val="18"/>
              </w:rPr>
            </w:pPr>
            <w:r>
              <w:rPr>
                <w:rFonts w:hint="eastAsia" w:ascii="宋体" w:hAnsi="宋体"/>
                <w:kern w:val="0"/>
                <w:sz w:val="18"/>
                <w:szCs w:val="18"/>
              </w:rPr>
              <w:t>制情况</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3</w:t>
            </w:r>
          </w:p>
        </w:tc>
        <w:tc>
          <w:tcPr>
            <w:tcW w:w="3411"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企业为国际或国家标准参编单位得3分；为行业标准参编单位得2分；为地方标准参编单位得1分。</w:t>
            </w:r>
          </w:p>
        </w:tc>
        <w:tc>
          <w:tcPr>
            <w:tcW w:w="3262" w:type="dxa"/>
            <w:tcBorders>
              <w:top w:val="single" w:color="auto" w:sz="4" w:space="0"/>
              <w:left w:val="nil"/>
              <w:bottom w:val="single" w:color="auto" w:sz="4" w:space="0"/>
              <w:right w:val="single" w:color="auto" w:sz="4" w:space="0"/>
            </w:tcBorders>
            <w:vAlign w:val="center"/>
          </w:tcPr>
          <w:p>
            <w:r>
              <w:rPr>
                <w:rFonts w:hint="eastAsia" w:ascii="宋体" w:hAnsi="宋体"/>
                <w:kern w:val="0"/>
                <w:sz w:val="18"/>
                <w:szCs w:val="18"/>
              </w:rPr>
              <w:t>提供企业参与技术编制相关证明资料</w:t>
            </w:r>
          </w:p>
        </w:tc>
        <w:tc>
          <w:tcPr>
            <w:tcW w:w="709" w:type="dxa"/>
            <w:tcBorders>
              <w:top w:val="single" w:color="auto" w:sz="4" w:space="0"/>
              <w:left w:val="nil"/>
              <w:bottom w:val="single" w:color="auto" w:sz="4" w:space="0"/>
              <w:right w:val="single" w:color="auto" w:sz="4" w:space="0"/>
            </w:tcBorders>
          </w:tcPr>
          <w:p>
            <w:pPr>
              <w:widowControl/>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4</w:t>
            </w:r>
          </w:p>
        </w:tc>
        <w:tc>
          <w:tcPr>
            <w:tcW w:w="1150"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企业的财务状况（最新一期年度的收入情况）</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3</w:t>
            </w:r>
          </w:p>
        </w:tc>
        <w:tc>
          <w:tcPr>
            <w:tcW w:w="3411"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根据厂家最新一期年度财务审计报告情况进行评分：优得3分，良得2分，一般得1分，差不得分。</w:t>
            </w:r>
          </w:p>
        </w:tc>
        <w:tc>
          <w:tcPr>
            <w:tcW w:w="3262"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提供最新一期年度财务审计报告（须体现营业收入、利润）资料进行对比：营业收入和利润较优为优；营业收入和利润良好为良；营业收入和利润为一般为一般；其余为差。</w:t>
            </w:r>
          </w:p>
        </w:tc>
        <w:tc>
          <w:tcPr>
            <w:tcW w:w="709" w:type="dxa"/>
            <w:tcBorders>
              <w:top w:val="single" w:color="auto" w:sz="4" w:space="0"/>
              <w:left w:val="nil"/>
              <w:bottom w:val="single" w:color="auto" w:sz="4" w:space="0"/>
              <w:right w:val="single" w:color="auto" w:sz="4" w:space="0"/>
            </w:tcBorders>
          </w:tcPr>
          <w:p>
            <w:pPr>
              <w:widowControl/>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5</w:t>
            </w:r>
          </w:p>
        </w:tc>
        <w:tc>
          <w:tcPr>
            <w:tcW w:w="1150"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资信等级</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2</w:t>
            </w:r>
          </w:p>
        </w:tc>
        <w:tc>
          <w:tcPr>
            <w:tcW w:w="3411"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企业取得AA级及以上得2分，A级及以上得1分，其余不得分。</w:t>
            </w:r>
          </w:p>
        </w:tc>
        <w:tc>
          <w:tcPr>
            <w:tcW w:w="3262" w:type="dxa"/>
            <w:tcBorders>
              <w:top w:val="single" w:color="auto" w:sz="4" w:space="0"/>
              <w:left w:val="nil"/>
              <w:bottom w:val="single" w:color="auto" w:sz="4" w:space="0"/>
              <w:right w:val="single" w:color="auto" w:sz="4" w:space="0"/>
            </w:tcBorders>
            <w:vAlign w:val="center"/>
          </w:tcPr>
          <w:p>
            <w:pPr>
              <w:widowControl/>
              <w:wordWrap w:val="0"/>
              <w:spacing w:line="390" w:lineRule="atLeast"/>
              <w:jc w:val="left"/>
              <w:outlineLvl w:val="0"/>
              <w:rPr>
                <w:rFonts w:ascii="宋体" w:hAnsi="宋体"/>
                <w:kern w:val="0"/>
                <w:sz w:val="18"/>
                <w:szCs w:val="18"/>
              </w:rPr>
            </w:pPr>
            <w:r>
              <w:rPr>
                <w:rFonts w:hint="eastAsia" w:ascii="宋体" w:hAnsi="宋体"/>
                <w:kern w:val="0"/>
                <w:sz w:val="18"/>
                <w:szCs w:val="18"/>
              </w:rPr>
              <w:t>提供银行或第三方机构开具的资信等级证明资料</w:t>
            </w:r>
          </w:p>
        </w:tc>
        <w:tc>
          <w:tcPr>
            <w:tcW w:w="709" w:type="dxa"/>
            <w:tcBorders>
              <w:top w:val="single" w:color="auto" w:sz="4" w:space="0"/>
              <w:left w:val="nil"/>
              <w:bottom w:val="single" w:color="auto" w:sz="4" w:space="0"/>
              <w:right w:val="single" w:color="auto" w:sz="4" w:space="0"/>
            </w:tcBorders>
          </w:tcPr>
          <w:p>
            <w:pPr>
              <w:widowControl/>
              <w:wordWrap w:val="0"/>
              <w:spacing w:line="390" w:lineRule="atLeast"/>
              <w:jc w:val="left"/>
              <w:outlineLvl w:val="0"/>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6</w:t>
            </w:r>
          </w:p>
        </w:tc>
        <w:tc>
          <w:tcPr>
            <w:tcW w:w="1150"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企业守信</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2</w:t>
            </w:r>
          </w:p>
        </w:tc>
        <w:tc>
          <w:tcPr>
            <w:tcW w:w="3411" w:type="dxa"/>
            <w:tcBorders>
              <w:top w:val="single" w:color="auto" w:sz="4" w:space="0"/>
              <w:left w:val="nil"/>
              <w:bottom w:val="single" w:color="auto" w:sz="4" w:space="0"/>
              <w:right w:val="single" w:color="auto" w:sz="4" w:space="0"/>
            </w:tcBorders>
            <w:vAlign w:val="center"/>
          </w:tcPr>
          <w:p>
            <w:r>
              <w:rPr>
                <w:rFonts w:hint="eastAsia" w:ascii="宋体" w:hAnsi="宋体"/>
                <w:kern w:val="0"/>
                <w:sz w:val="18"/>
                <w:szCs w:val="18"/>
              </w:rPr>
              <w:t>企业在信用中国网站被列为守信激励对象得2分；没有不得分。</w:t>
            </w:r>
          </w:p>
        </w:tc>
        <w:tc>
          <w:tcPr>
            <w:tcW w:w="3262" w:type="dxa"/>
            <w:tcBorders>
              <w:top w:val="single" w:color="auto" w:sz="4" w:space="0"/>
              <w:left w:val="nil"/>
              <w:bottom w:val="single" w:color="auto" w:sz="4" w:space="0"/>
              <w:right w:val="single" w:color="auto" w:sz="4" w:space="0"/>
            </w:tcBorders>
            <w:vAlign w:val="center"/>
          </w:tcPr>
          <w:p>
            <w:pPr>
              <w:widowControl/>
              <w:wordWrap w:val="0"/>
              <w:spacing w:line="390" w:lineRule="atLeast"/>
              <w:jc w:val="left"/>
              <w:outlineLvl w:val="0"/>
              <w:rPr>
                <w:rFonts w:ascii="宋体" w:hAnsi="宋体"/>
                <w:kern w:val="0"/>
                <w:sz w:val="18"/>
                <w:szCs w:val="18"/>
              </w:rPr>
            </w:pPr>
            <w:r>
              <w:rPr>
                <w:rFonts w:hint="eastAsia" w:ascii="宋体" w:hAnsi="宋体"/>
                <w:kern w:val="0"/>
                <w:sz w:val="18"/>
                <w:szCs w:val="18"/>
              </w:rPr>
              <w:t>提供信用中国网站（www.creditchina.gov.cn）截图证明</w:t>
            </w:r>
          </w:p>
        </w:tc>
        <w:tc>
          <w:tcPr>
            <w:tcW w:w="709" w:type="dxa"/>
            <w:tcBorders>
              <w:top w:val="single" w:color="auto" w:sz="4" w:space="0"/>
              <w:left w:val="nil"/>
              <w:bottom w:val="single" w:color="auto" w:sz="4" w:space="0"/>
              <w:right w:val="single" w:color="auto" w:sz="4" w:space="0"/>
            </w:tcBorders>
          </w:tcPr>
          <w:p>
            <w:pPr>
              <w:widowControl/>
              <w:wordWrap w:val="0"/>
              <w:spacing w:line="390" w:lineRule="atLeast"/>
              <w:jc w:val="left"/>
              <w:outlineLvl w:val="0"/>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7</w:t>
            </w:r>
          </w:p>
        </w:tc>
        <w:tc>
          <w:tcPr>
            <w:tcW w:w="1150"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注册商标、驰名商标</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3</w:t>
            </w:r>
          </w:p>
        </w:tc>
        <w:tc>
          <w:tcPr>
            <w:tcW w:w="3411"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企业获得注册商标得2分；品牌获得工商管理局颁发的“驰名商标”得1分；没有不得分。</w:t>
            </w:r>
          </w:p>
        </w:tc>
        <w:tc>
          <w:tcPr>
            <w:tcW w:w="3262"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提供商标、证书等证明资料（如中国商标网截图等证明资料）</w:t>
            </w:r>
          </w:p>
        </w:tc>
        <w:tc>
          <w:tcPr>
            <w:tcW w:w="709" w:type="dxa"/>
            <w:tcBorders>
              <w:top w:val="single" w:color="auto" w:sz="4" w:space="0"/>
              <w:left w:val="nil"/>
              <w:bottom w:val="single" w:color="auto" w:sz="4" w:space="0"/>
              <w:right w:val="single" w:color="auto" w:sz="4" w:space="0"/>
            </w:tcBorders>
          </w:tcPr>
          <w:p>
            <w:pPr>
              <w:widowControl/>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8</w:t>
            </w:r>
          </w:p>
        </w:tc>
        <w:tc>
          <w:tcPr>
            <w:tcW w:w="1150"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福建省内有自行成立的公司或代理公司</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4</w:t>
            </w:r>
          </w:p>
        </w:tc>
        <w:tc>
          <w:tcPr>
            <w:tcW w:w="3411"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公司或成立分公司注册福建省内得4分；在福建省内有授权的销售地在或售后服务代理公司得2分；其余不得分。</w:t>
            </w:r>
          </w:p>
        </w:tc>
        <w:tc>
          <w:tcPr>
            <w:tcW w:w="3262"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公司或成立分公司须提供注册地为福建省内的工商营业执照资料；代理公司须提供厂家授权书、注册地为福建省内的工商营业执照等资料。</w:t>
            </w:r>
          </w:p>
        </w:tc>
        <w:tc>
          <w:tcPr>
            <w:tcW w:w="709" w:type="dxa"/>
            <w:tcBorders>
              <w:top w:val="single" w:color="auto" w:sz="4" w:space="0"/>
              <w:left w:val="nil"/>
              <w:bottom w:val="single" w:color="auto" w:sz="4" w:space="0"/>
              <w:right w:val="single" w:color="auto" w:sz="4" w:space="0"/>
            </w:tcBorders>
          </w:tcPr>
          <w:p>
            <w:pPr>
              <w:widowControl/>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bCs/>
                <w:kern w:val="0"/>
                <w:szCs w:val="21"/>
              </w:rPr>
            </w:pPr>
            <w:r>
              <w:rPr>
                <w:rFonts w:hint="eastAsia" w:ascii="宋体" w:hAnsi="宋体"/>
                <w:b/>
                <w:bCs/>
                <w:kern w:val="0"/>
              </w:rPr>
              <w:t>二</w:t>
            </w:r>
          </w:p>
        </w:tc>
        <w:tc>
          <w:tcPr>
            <w:tcW w:w="8238" w:type="dxa"/>
            <w:gridSpan w:val="4"/>
            <w:tcBorders>
              <w:top w:val="single" w:color="auto" w:sz="4" w:space="0"/>
              <w:left w:val="nil"/>
              <w:bottom w:val="single" w:color="auto" w:sz="4" w:space="0"/>
              <w:right w:val="single" w:color="auto" w:sz="4" w:space="0"/>
            </w:tcBorders>
            <w:vAlign w:val="center"/>
          </w:tcPr>
          <w:p>
            <w:pPr>
              <w:widowControl/>
              <w:jc w:val="left"/>
              <w:rPr>
                <w:rFonts w:ascii="宋体" w:hAnsi="宋体"/>
                <w:b/>
                <w:bCs/>
                <w:kern w:val="0"/>
              </w:rPr>
            </w:pPr>
            <w:r>
              <w:rPr>
                <w:rFonts w:hint="eastAsia" w:ascii="宋体" w:hAnsi="宋体"/>
                <w:b/>
                <w:bCs/>
                <w:kern w:val="0"/>
              </w:rPr>
              <w:t>产品工艺、技术、质量、体系及证书（35分）</w:t>
            </w:r>
          </w:p>
        </w:tc>
        <w:tc>
          <w:tcPr>
            <w:tcW w:w="709" w:type="dxa"/>
            <w:tcBorders>
              <w:top w:val="single" w:color="auto" w:sz="4" w:space="0"/>
              <w:left w:val="nil"/>
              <w:bottom w:val="single" w:color="auto" w:sz="4" w:space="0"/>
              <w:right w:val="single" w:color="auto" w:sz="4" w:space="0"/>
            </w:tcBorders>
          </w:tcPr>
          <w:p>
            <w:pPr>
              <w:widowControl/>
              <w:jc w:val="left"/>
              <w:rPr>
                <w:rFonts w:ascii="宋体" w:hAnsi="宋体"/>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1</w:t>
            </w:r>
          </w:p>
        </w:tc>
        <w:tc>
          <w:tcPr>
            <w:tcW w:w="1150"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产品制造工艺流程</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8</w:t>
            </w:r>
          </w:p>
        </w:tc>
        <w:tc>
          <w:tcPr>
            <w:tcW w:w="3411"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根据产品品类品牌制造工艺流程进行评分：优得8分，良得6分，一般得4分，差不得分。</w:t>
            </w:r>
          </w:p>
        </w:tc>
        <w:tc>
          <w:tcPr>
            <w:tcW w:w="3262"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完整清楚介绍制造工艺流程并技术先进性得优；清楚介绍工艺流程并技术比较先进得良；有介绍工艺流程且技术一般为一般；未介绍工艺流程为差。</w:t>
            </w:r>
          </w:p>
        </w:tc>
        <w:tc>
          <w:tcPr>
            <w:tcW w:w="709" w:type="dxa"/>
            <w:tcBorders>
              <w:top w:val="single" w:color="auto" w:sz="4" w:space="0"/>
              <w:left w:val="nil"/>
              <w:bottom w:val="single" w:color="auto" w:sz="4" w:space="0"/>
              <w:right w:val="single" w:color="auto" w:sz="4" w:space="0"/>
            </w:tcBorders>
          </w:tcPr>
          <w:p>
            <w:pPr>
              <w:widowControl/>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2</w:t>
            </w:r>
          </w:p>
        </w:tc>
        <w:tc>
          <w:tcPr>
            <w:tcW w:w="1150"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产品技术参数</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5</w:t>
            </w:r>
          </w:p>
        </w:tc>
        <w:tc>
          <w:tcPr>
            <w:tcW w:w="3411"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根据产品品类品牌产品技术参数进行评分：优得5分，良得4 分，一般得3分，差不得分。</w:t>
            </w:r>
          </w:p>
        </w:tc>
        <w:tc>
          <w:tcPr>
            <w:tcW w:w="3262"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完整清楚提供技术参数并技术优质得优；清楚提供技术参数并技术比较良好得良；有提供技术参数且技术一般为一般；未提供技术参数为差。</w:t>
            </w:r>
          </w:p>
        </w:tc>
        <w:tc>
          <w:tcPr>
            <w:tcW w:w="709" w:type="dxa"/>
            <w:tcBorders>
              <w:top w:val="single" w:color="auto" w:sz="4" w:space="0"/>
              <w:left w:val="nil"/>
              <w:bottom w:val="single" w:color="auto" w:sz="4" w:space="0"/>
              <w:right w:val="single" w:color="auto" w:sz="4" w:space="0"/>
            </w:tcBorders>
          </w:tcPr>
          <w:p>
            <w:pPr>
              <w:widowControl/>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3</w:t>
            </w:r>
          </w:p>
        </w:tc>
        <w:tc>
          <w:tcPr>
            <w:tcW w:w="1150"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产品系列全面性</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5</w:t>
            </w:r>
          </w:p>
        </w:tc>
        <w:tc>
          <w:tcPr>
            <w:tcW w:w="3411"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根据产品系列全面性进行评分：优得5分，良得4 分，一般得3分，差不得分。</w:t>
            </w:r>
          </w:p>
        </w:tc>
        <w:tc>
          <w:tcPr>
            <w:tcW w:w="3262"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根据提供的产品系列介绍进行评分：产品系列完整的得优；产品系列比较全得良；有部分产品系列为一般；未提供产品系列为差。</w:t>
            </w:r>
          </w:p>
        </w:tc>
        <w:tc>
          <w:tcPr>
            <w:tcW w:w="709" w:type="dxa"/>
            <w:tcBorders>
              <w:top w:val="single" w:color="auto" w:sz="4" w:space="0"/>
              <w:left w:val="nil"/>
              <w:bottom w:val="single" w:color="auto" w:sz="4" w:space="0"/>
              <w:right w:val="single" w:color="auto" w:sz="4" w:space="0"/>
            </w:tcBorders>
          </w:tcPr>
          <w:p>
            <w:pPr>
              <w:widowControl/>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4</w:t>
            </w:r>
          </w:p>
        </w:tc>
        <w:tc>
          <w:tcPr>
            <w:tcW w:w="1150"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企业生产的产品质量</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8</w:t>
            </w:r>
          </w:p>
        </w:tc>
        <w:tc>
          <w:tcPr>
            <w:tcW w:w="3411"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根据产品品类品牌产品质量进行评分：优得8分，良得6分，一般得4分，差不得分。</w:t>
            </w:r>
          </w:p>
        </w:tc>
        <w:tc>
          <w:tcPr>
            <w:tcW w:w="3262"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结合权威机构质量检测报告（若有实地考察、样品可结合对比）进行评审：产品质量为优得优；产品质量为良得良；产品质量为一般得一般，产品质量评价为差得差。</w:t>
            </w:r>
          </w:p>
        </w:tc>
        <w:tc>
          <w:tcPr>
            <w:tcW w:w="709" w:type="dxa"/>
            <w:tcBorders>
              <w:top w:val="single" w:color="auto" w:sz="4" w:space="0"/>
              <w:left w:val="nil"/>
              <w:bottom w:val="single" w:color="auto" w:sz="4" w:space="0"/>
              <w:right w:val="single" w:color="auto" w:sz="4" w:space="0"/>
            </w:tcBorders>
          </w:tcPr>
          <w:p>
            <w:pPr>
              <w:widowControl/>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5</w:t>
            </w:r>
          </w:p>
        </w:tc>
        <w:tc>
          <w:tcPr>
            <w:tcW w:w="1150"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企业管理体系认证</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3</w:t>
            </w:r>
          </w:p>
        </w:tc>
        <w:tc>
          <w:tcPr>
            <w:tcW w:w="3411" w:type="dxa"/>
            <w:tcBorders>
              <w:top w:val="single" w:color="auto" w:sz="4" w:space="0"/>
              <w:left w:val="nil"/>
              <w:bottom w:val="single" w:color="auto" w:sz="4" w:space="0"/>
              <w:right w:val="single" w:color="auto" w:sz="4" w:space="0"/>
            </w:tcBorders>
            <w:vAlign w:val="center"/>
          </w:tcPr>
          <w:p>
            <w:pPr>
              <w:autoSpaceDE w:val="0"/>
              <w:autoSpaceDN w:val="0"/>
              <w:adjustRightInd w:val="0"/>
              <w:jc w:val="left"/>
              <w:rPr>
                <w:rFonts w:ascii="宋体" w:hAnsi="宋体"/>
                <w:kern w:val="0"/>
                <w:sz w:val="18"/>
                <w:szCs w:val="18"/>
              </w:rPr>
            </w:pPr>
            <w:r>
              <w:rPr>
                <w:rFonts w:hint="eastAsia"/>
                <w:kern w:val="0"/>
                <w:sz w:val="18"/>
                <w:szCs w:val="18"/>
              </w:rPr>
              <w:t>五种体系认证（</w:t>
            </w:r>
            <w:r>
              <w:rPr>
                <w:rFonts w:hint="eastAsia" w:ascii="宋体" w:hAnsi="宋体"/>
                <w:kern w:val="0"/>
                <w:sz w:val="18"/>
                <w:szCs w:val="18"/>
              </w:rPr>
              <w:t>质量管理体系认证或环境管理体系认证或职业健康和安全管理系统体系认证或</w:t>
            </w:r>
            <w:r>
              <w:fldChar w:fldCharType="begin"/>
            </w:r>
            <w:r>
              <w:instrText xml:space="preserve"> HYPERLINK "http://kcf.com.cn/channel.asp?id=33" </w:instrText>
            </w:r>
            <w:r>
              <w:fldChar w:fldCharType="separate"/>
            </w:r>
            <w:r>
              <w:rPr>
                <w:kern w:val="0"/>
                <w:sz w:val="18"/>
                <w:szCs w:val="18"/>
              </w:rPr>
              <w:t>信息安全管理体系认证</w:t>
            </w:r>
            <w:r>
              <w:rPr>
                <w:kern w:val="0"/>
                <w:sz w:val="18"/>
                <w:szCs w:val="18"/>
              </w:rPr>
              <w:fldChar w:fldCharType="end"/>
            </w:r>
            <w:r>
              <w:rPr>
                <w:rFonts w:hint="eastAsia"/>
                <w:kern w:val="0"/>
                <w:sz w:val="18"/>
                <w:szCs w:val="18"/>
              </w:rPr>
              <w:t>）</w:t>
            </w:r>
            <w:r>
              <w:rPr>
                <w:rFonts w:hint="eastAsia" w:ascii="宋体" w:hAnsi="宋体"/>
                <w:kern w:val="0"/>
                <w:sz w:val="18"/>
                <w:szCs w:val="18"/>
              </w:rPr>
              <w:t>：每提供其中一种体系认证得1分，本项最高3分。</w:t>
            </w:r>
          </w:p>
        </w:tc>
        <w:tc>
          <w:tcPr>
            <w:tcW w:w="3262" w:type="dxa"/>
            <w:tcBorders>
              <w:top w:val="single" w:color="auto" w:sz="4" w:space="0"/>
              <w:left w:val="nil"/>
              <w:bottom w:val="single" w:color="auto" w:sz="4" w:space="0"/>
              <w:right w:val="single" w:color="auto" w:sz="4" w:space="0"/>
            </w:tcBorders>
            <w:vAlign w:val="center"/>
          </w:tcPr>
          <w:p>
            <w:pPr>
              <w:autoSpaceDE w:val="0"/>
              <w:autoSpaceDN w:val="0"/>
              <w:adjustRightInd w:val="0"/>
              <w:jc w:val="left"/>
              <w:rPr>
                <w:rFonts w:ascii="宋体" w:hAnsi="宋体"/>
                <w:kern w:val="0"/>
                <w:sz w:val="18"/>
                <w:szCs w:val="18"/>
              </w:rPr>
            </w:pPr>
            <w:r>
              <w:rPr>
                <w:rFonts w:hint="eastAsia" w:ascii="宋体" w:hAnsi="宋体"/>
                <w:kern w:val="0"/>
                <w:sz w:val="18"/>
                <w:szCs w:val="18"/>
              </w:rPr>
              <w:t>提供各种体系认证证书资料</w:t>
            </w:r>
          </w:p>
        </w:tc>
        <w:tc>
          <w:tcPr>
            <w:tcW w:w="709" w:type="dxa"/>
            <w:tcBorders>
              <w:top w:val="single" w:color="auto" w:sz="4" w:space="0"/>
              <w:left w:val="nil"/>
              <w:bottom w:val="single" w:color="auto" w:sz="4" w:space="0"/>
              <w:right w:val="single" w:color="auto" w:sz="4" w:space="0"/>
            </w:tcBorders>
          </w:tcPr>
          <w:p>
            <w:pPr>
              <w:autoSpaceDE w:val="0"/>
              <w:autoSpaceDN w:val="0"/>
              <w:adjustRightInd w:val="0"/>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6</w:t>
            </w:r>
          </w:p>
        </w:tc>
        <w:tc>
          <w:tcPr>
            <w:tcW w:w="1150"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专利证书</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2</w:t>
            </w:r>
          </w:p>
        </w:tc>
        <w:tc>
          <w:tcPr>
            <w:tcW w:w="3411" w:type="dxa"/>
            <w:tcBorders>
              <w:top w:val="single" w:color="auto" w:sz="4" w:space="0"/>
              <w:left w:val="nil"/>
              <w:bottom w:val="single" w:color="auto" w:sz="4" w:space="0"/>
              <w:right w:val="single" w:color="auto" w:sz="4" w:space="0"/>
            </w:tcBorders>
            <w:vAlign w:val="center"/>
          </w:tcPr>
          <w:p>
            <w:pPr>
              <w:autoSpaceDE w:val="0"/>
              <w:autoSpaceDN w:val="0"/>
              <w:adjustRightInd w:val="0"/>
              <w:jc w:val="left"/>
              <w:rPr>
                <w:rFonts w:ascii="宋体" w:hAnsi="宋体"/>
                <w:kern w:val="0"/>
                <w:sz w:val="18"/>
                <w:szCs w:val="18"/>
              </w:rPr>
            </w:pPr>
            <w:r>
              <w:rPr>
                <w:rFonts w:hint="eastAsia" w:ascii="宋体" w:hAnsi="宋体"/>
                <w:kern w:val="0"/>
                <w:sz w:val="18"/>
                <w:szCs w:val="18"/>
              </w:rPr>
              <w:t>获得发明或实用新型或外观设计三种类型专利证书：每提供一种类型专利证书得1分，本项最高2分。</w:t>
            </w:r>
          </w:p>
        </w:tc>
        <w:tc>
          <w:tcPr>
            <w:tcW w:w="3262" w:type="dxa"/>
            <w:tcBorders>
              <w:top w:val="single" w:color="auto" w:sz="4" w:space="0"/>
              <w:left w:val="nil"/>
              <w:bottom w:val="single" w:color="auto" w:sz="4" w:space="0"/>
              <w:right w:val="single" w:color="auto" w:sz="4" w:space="0"/>
            </w:tcBorders>
            <w:vAlign w:val="center"/>
          </w:tcPr>
          <w:p>
            <w:pPr>
              <w:autoSpaceDE w:val="0"/>
              <w:autoSpaceDN w:val="0"/>
              <w:adjustRightInd w:val="0"/>
              <w:jc w:val="left"/>
              <w:rPr>
                <w:rFonts w:ascii="宋体" w:hAnsi="宋体"/>
                <w:kern w:val="0"/>
                <w:sz w:val="18"/>
                <w:szCs w:val="18"/>
              </w:rPr>
            </w:pPr>
            <w:r>
              <w:rPr>
                <w:rFonts w:hint="eastAsia" w:ascii="宋体" w:hAnsi="宋体"/>
                <w:kern w:val="0"/>
                <w:sz w:val="18"/>
                <w:szCs w:val="18"/>
              </w:rPr>
              <w:t>提供产品各种专利证书</w:t>
            </w:r>
          </w:p>
        </w:tc>
        <w:tc>
          <w:tcPr>
            <w:tcW w:w="709" w:type="dxa"/>
            <w:tcBorders>
              <w:top w:val="single" w:color="auto" w:sz="4" w:space="0"/>
              <w:left w:val="nil"/>
              <w:bottom w:val="single" w:color="auto" w:sz="4" w:space="0"/>
              <w:right w:val="single" w:color="auto" w:sz="4" w:space="0"/>
            </w:tcBorders>
          </w:tcPr>
          <w:p>
            <w:pPr>
              <w:autoSpaceDE w:val="0"/>
              <w:autoSpaceDN w:val="0"/>
              <w:adjustRightInd w:val="0"/>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7</w:t>
            </w:r>
          </w:p>
        </w:tc>
        <w:tc>
          <w:tcPr>
            <w:tcW w:w="1150"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企业证书及获奖</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2</w:t>
            </w:r>
          </w:p>
        </w:tc>
        <w:tc>
          <w:tcPr>
            <w:tcW w:w="3411" w:type="dxa"/>
            <w:tcBorders>
              <w:top w:val="single" w:color="auto" w:sz="4" w:space="0"/>
              <w:left w:val="nil"/>
              <w:bottom w:val="single" w:color="auto" w:sz="4" w:space="0"/>
              <w:right w:val="single" w:color="auto" w:sz="4" w:space="0"/>
            </w:tcBorders>
            <w:vAlign w:val="center"/>
          </w:tcPr>
          <w:p>
            <w:pPr>
              <w:autoSpaceDE w:val="0"/>
              <w:autoSpaceDN w:val="0"/>
              <w:adjustRightInd w:val="0"/>
              <w:jc w:val="left"/>
              <w:rPr>
                <w:rFonts w:ascii="Arial" w:hAnsi="Arial" w:cs="Arial"/>
                <w:sz w:val="20"/>
                <w:szCs w:val="20"/>
                <w:shd w:val="clear" w:color="auto" w:fill="FFFFFF"/>
              </w:rPr>
            </w:pPr>
            <w:r>
              <w:rPr>
                <w:rFonts w:hint="eastAsia" w:ascii="宋体" w:hAnsi="宋体"/>
                <w:kern w:val="0"/>
                <w:sz w:val="18"/>
                <w:szCs w:val="18"/>
              </w:rPr>
              <w:t>获得高新技术企业证书或软件著作权证书或CNAS实验室认可证书或市级及以上科技进步奖：每提供一项得1分，本项最高2分。</w:t>
            </w:r>
          </w:p>
        </w:tc>
        <w:tc>
          <w:tcPr>
            <w:tcW w:w="3262" w:type="dxa"/>
            <w:tcBorders>
              <w:top w:val="single" w:color="auto" w:sz="4" w:space="0"/>
              <w:left w:val="nil"/>
              <w:bottom w:val="single" w:color="auto" w:sz="4" w:space="0"/>
              <w:right w:val="single" w:color="auto" w:sz="4" w:space="0"/>
            </w:tcBorders>
            <w:vAlign w:val="center"/>
          </w:tcPr>
          <w:p>
            <w:pPr>
              <w:autoSpaceDE w:val="0"/>
              <w:autoSpaceDN w:val="0"/>
              <w:adjustRightInd w:val="0"/>
              <w:jc w:val="left"/>
              <w:rPr>
                <w:rFonts w:ascii="宋体" w:hAnsi="宋体" w:cs="Calibri"/>
                <w:kern w:val="0"/>
                <w:sz w:val="18"/>
                <w:szCs w:val="18"/>
              </w:rPr>
            </w:pPr>
            <w:r>
              <w:rPr>
                <w:rFonts w:hint="eastAsia" w:ascii="宋体" w:hAnsi="宋体"/>
                <w:kern w:val="0"/>
                <w:sz w:val="18"/>
                <w:szCs w:val="18"/>
              </w:rPr>
              <w:t>提供相关证书及获奖证明资料</w:t>
            </w:r>
          </w:p>
        </w:tc>
        <w:tc>
          <w:tcPr>
            <w:tcW w:w="709" w:type="dxa"/>
            <w:tcBorders>
              <w:top w:val="single" w:color="auto" w:sz="4" w:space="0"/>
              <w:left w:val="nil"/>
              <w:bottom w:val="single" w:color="auto" w:sz="4" w:space="0"/>
              <w:right w:val="single" w:color="auto" w:sz="4" w:space="0"/>
            </w:tcBorders>
          </w:tcPr>
          <w:p>
            <w:pPr>
              <w:autoSpaceDE w:val="0"/>
              <w:autoSpaceDN w:val="0"/>
              <w:adjustRightInd w:val="0"/>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8</w:t>
            </w:r>
          </w:p>
        </w:tc>
        <w:tc>
          <w:tcPr>
            <w:tcW w:w="1150"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企业生产的产品报价</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2</w:t>
            </w:r>
          </w:p>
        </w:tc>
        <w:tc>
          <w:tcPr>
            <w:tcW w:w="3411" w:type="dxa"/>
            <w:tcBorders>
              <w:top w:val="single" w:color="auto" w:sz="4" w:space="0"/>
              <w:left w:val="nil"/>
              <w:bottom w:val="single" w:color="auto" w:sz="4" w:space="0"/>
              <w:right w:val="single" w:color="auto" w:sz="4" w:space="0"/>
            </w:tcBorders>
            <w:vAlign w:val="center"/>
          </w:tcPr>
          <w:p>
            <w:pPr>
              <w:widowControl/>
              <w:jc w:val="left"/>
              <w:rPr>
                <w:rFonts w:ascii="宋体" w:hAnsi="宋体"/>
                <w:strike/>
                <w:kern w:val="0"/>
                <w:sz w:val="18"/>
                <w:szCs w:val="18"/>
              </w:rPr>
            </w:pPr>
            <w:r>
              <w:rPr>
                <w:rFonts w:hint="eastAsia" w:ascii="宋体" w:hAnsi="宋体"/>
                <w:kern w:val="0"/>
                <w:sz w:val="18"/>
                <w:szCs w:val="18"/>
              </w:rPr>
              <w:t>提供企业生产的入库品类常规产品报价单进行评分：有提供得2分，无提供不得分。</w:t>
            </w:r>
          </w:p>
        </w:tc>
        <w:tc>
          <w:tcPr>
            <w:tcW w:w="3262"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提供企业生产的入库品类常规产品目前市面价格</w:t>
            </w:r>
          </w:p>
        </w:tc>
        <w:tc>
          <w:tcPr>
            <w:tcW w:w="709" w:type="dxa"/>
            <w:tcBorders>
              <w:top w:val="single" w:color="auto" w:sz="4" w:space="0"/>
              <w:left w:val="nil"/>
              <w:bottom w:val="single" w:color="auto" w:sz="4" w:space="0"/>
              <w:right w:val="single" w:color="auto" w:sz="4" w:space="0"/>
            </w:tcBorders>
          </w:tcPr>
          <w:p>
            <w:pPr>
              <w:widowControl/>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bCs/>
                <w:kern w:val="0"/>
                <w:szCs w:val="21"/>
              </w:rPr>
            </w:pPr>
            <w:r>
              <w:rPr>
                <w:rFonts w:hint="eastAsia" w:ascii="宋体" w:hAnsi="宋体"/>
                <w:b/>
                <w:bCs/>
                <w:kern w:val="0"/>
              </w:rPr>
              <w:t>三</w:t>
            </w:r>
          </w:p>
        </w:tc>
        <w:tc>
          <w:tcPr>
            <w:tcW w:w="8238" w:type="dxa"/>
            <w:gridSpan w:val="4"/>
            <w:tcBorders>
              <w:top w:val="single" w:color="auto" w:sz="4" w:space="0"/>
              <w:left w:val="nil"/>
              <w:bottom w:val="single" w:color="auto" w:sz="4" w:space="0"/>
              <w:right w:val="single" w:color="auto" w:sz="4" w:space="0"/>
            </w:tcBorders>
            <w:vAlign w:val="center"/>
          </w:tcPr>
          <w:p>
            <w:pPr>
              <w:widowControl/>
              <w:jc w:val="left"/>
              <w:rPr>
                <w:rFonts w:ascii="宋体" w:hAnsi="宋体"/>
                <w:b/>
                <w:bCs/>
                <w:kern w:val="0"/>
              </w:rPr>
            </w:pPr>
            <w:r>
              <w:rPr>
                <w:rFonts w:hint="eastAsia" w:ascii="宋体" w:hAnsi="宋体"/>
                <w:b/>
                <w:bCs/>
                <w:kern w:val="0"/>
              </w:rPr>
              <w:t>近五年的业绩情况（32分）</w:t>
            </w:r>
          </w:p>
        </w:tc>
        <w:tc>
          <w:tcPr>
            <w:tcW w:w="709" w:type="dxa"/>
            <w:tcBorders>
              <w:top w:val="single" w:color="auto" w:sz="4" w:space="0"/>
              <w:left w:val="nil"/>
              <w:bottom w:val="single" w:color="auto" w:sz="4" w:space="0"/>
              <w:right w:val="single" w:color="auto" w:sz="4" w:space="0"/>
            </w:tcBorders>
          </w:tcPr>
          <w:p>
            <w:pPr>
              <w:widowControl/>
              <w:jc w:val="left"/>
              <w:rPr>
                <w:rFonts w:ascii="宋体" w:hAnsi="宋体"/>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2" w:hRule="atLeast"/>
          <w:jc w:val="center"/>
        </w:trPr>
        <w:tc>
          <w:tcPr>
            <w:tcW w:w="4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1</w:t>
            </w:r>
          </w:p>
        </w:tc>
        <w:tc>
          <w:tcPr>
            <w:tcW w:w="1150"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近五年的产品业绩情况</w:t>
            </w:r>
            <w:r>
              <w:rPr>
                <w:rFonts w:hint="eastAsia" w:ascii="宋体" w:hAnsi="宋体"/>
                <w:b/>
                <w:kern w:val="0"/>
              </w:rPr>
              <w:t>（不同品类产品，业绩须分别归类列出）</w:t>
            </w:r>
          </w:p>
        </w:tc>
        <w:tc>
          <w:tcPr>
            <w:tcW w:w="415"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32</w:t>
            </w:r>
          </w:p>
        </w:tc>
        <w:tc>
          <w:tcPr>
            <w:tcW w:w="3411"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1、根据产品销售该品类合同金额进行评分：合同金额未体现或10万以下每个合同加0.5分（合同金额未体现最多认可10份）,10万-100万元（含10万元）每个合同加1分,100万-500万元（含100万元）每个合同加2分,500万元及以上每个合同加3分；以上满分2</w:t>
            </w:r>
            <w:r>
              <w:rPr>
                <w:rFonts w:hint="eastAsia" w:ascii="宋体" w:hAnsi="宋体"/>
                <w:kern w:val="0"/>
                <w:sz w:val="18"/>
                <w:szCs w:val="18"/>
                <w:lang w:val="en-US" w:eastAsia="zh-CN"/>
              </w:rPr>
              <w:t>2</w:t>
            </w:r>
            <w:r>
              <w:rPr>
                <w:rFonts w:hint="eastAsia" w:ascii="宋体" w:hAnsi="宋体"/>
                <w:kern w:val="0"/>
                <w:sz w:val="18"/>
                <w:szCs w:val="18"/>
              </w:rPr>
              <w:t xml:space="preserve">分。  </w:t>
            </w:r>
          </w:p>
          <w:p>
            <w:pPr>
              <w:widowControl/>
              <w:jc w:val="left"/>
              <w:rPr>
                <w:rFonts w:ascii="宋体" w:hAnsi="宋体"/>
                <w:kern w:val="0"/>
                <w:sz w:val="18"/>
                <w:szCs w:val="18"/>
              </w:rPr>
            </w:pPr>
            <w:r>
              <w:rPr>
                <w:rFonts w:hint="eastAsia" w:cs="宋体" w:asciiTheme="minorEastAsia" w:hAnsiTheme="minorEastAsia"/>
                <w:color w:val="000000" w:themeColor="text1"/>
                <w:kern w:val="0"/>
                <w:sz w:val="18"/>
                <w:szCs w:val="18"/>
              </w:rPr>
              <w:t>2、合同业绩类型进行评分：</w:t>
            </w:r>
            <w:r>
              <w:rPr>
                <w:rFonts w:hint="eastAsia" w:cs="宋体" w:asciiTheme="minorEastAsia" w:hAnsiTheme="minorEastAsia"/>
                <w:color w:val="000000" w:themeColor="text1"/>
                <w:kern w:val="0"/>
                <w:sz w:val="18"/>
                <w:szCs w:val="18"/>
                <w:lang w:eastAsia="zh-CN"/>
              </w:rPr>
              <w:t>机场年吞吐量</w:t>
            </w:r>
            <w:r>
              <w:rPr>
                <w:rFonts w:hint="eastAsia" w:cs="宋体" w:asciiTheme="minorEastAsia" w:hAnsiTheme="minorEastAsia"/>
                <w:color w:val="000000" w:themeColor="text1"/>
                <w:kern w:val="0"/>
                <w:sz w:val="18"/>
                <w:szCs w:val="18"/>
                <w:lang w:val="en-US" w:eastAsia="zh-CN"/>
              </w:rPr>
              <w:t>1</w:t>
            </w:r>
            <w:r>
              <w:rPr>
                <w:rFonts w:hint="eastAsia" w:cs="宋体" w:asciiTheme="minorEastAsia" w:hAnsiTheme="minorEastAsia"/>
                <w:color w:val="000000" w:themeColor="text1"/>
                <w:kern w:val="0"/>
                <w:sz w:val="18"/>
                <w:szCs w:val="18"/>
                <w:lang w:eastAsia="zh-CN"/>
              </w:rPr>
              <w:t>千万</w:t>
            </w:r>
            <w:r>
              <w:rPr>
                <w:rFonts w:hint="eastAsia" w:cs="宋体" w:asciiTheme="minorEastAsia" w:hAnsiTheme="minorEastAsia"/>
                <w:color w:val="000000" w:themeColor="text1"/>
                <w:kern w:val="0"/>
                <w:sz w:val="18"/>
                <w:szCs w:val="18"/>
                <w:lang w:val="en-US" w:eastAsia="zh-CN"/>
              </w:rPr>
              <w:t>-2千万</w:t>
            </w:r>
            <w:r>
              <w:rPr>
                <w:rFonts w:hint="eastAsia" w:cs="宋体" w:asciiTheme="minorEastAsia" w:hAnsiTheme="minorEastAsia"/>
                <w:color w:val="000000" w:themeColor="text1"/>
                <w:kern w:val="0"/>
                <w:sz w:val="18"/>
                <w:szCs w:val="18"/>
                <w:lang w:eastAsia="zh-CN"/>
              </w:rPr>
              <w:t>级别业绩的每个得</w:t>
            </w:r>
            <w:r>
              <w:rPr>
                <w:rFonts w:hint="eastAsia" w:cs="宋体" w:asciiTheme="minorEastAsia" w:hAnsiTheme="minorEastAsia"/>
                <w:color w:val="000000" w:themeColor="text1"/>
                <w:kern w:val="0"/>
                <w:sz w:val="18"/>
                <w:szCs w:val="18"/>
                <w:lang w:val="en-US" w:eastAsia="zh-CN"/>
              </w:rPr>
              <w:t>1分，2千万级别以上业绩的每个得2分，最高得10分</w:t>
            </w:r>
          </w:p>
        </w:tc>
        <w:tc>
          <w:tcPr>
            <w:tcW w:w="3262"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1、须提供近五年合同复印件并汇总项目合同列表（合同原件业主备查，近五年以入库征集截止时间起算。）；</w:t>
            </w:r>
          </w:p>
          <w:p>
            <w:pPr>
              <w:widowControl/>
              <w:jc w:val="left"/>
              <w:rPr>
                <w:rFonts w:ascii="宋体" w:hAnsi="宋体"/>
                <w:b/>
                <w:kern w:val="0"/>
                <w:sz w:val="18"/>
                <w:szCs w:val="18"/>
              </w:rPr>
            </w:pPr>
            <w:r>
              <w:rPr>
                <w:rFonts w:hint="eastAsia" w:ascii="宋体" w:hAnsi="宋体"/>
                <w:kern w:val="0"/>
                <w:sz w:val="18"/>
                <w:szCs w:val="18"/>
              </w:rPr>
              <w:t>2、合同复印件内容</w:t>
            </w:r>
            <w:r>
              <w:rPr>
                <w:rFonts w:hint="eastAsia" w:ascii="宋体" w:hAnsi="宋体"/>
                <w:b/>
                <w:kern w:val="0"/>
                <w:sz w:val="18"/>
                <w:szCs w:val="18"/>
              </w:rPr>
              <w:t>须至少体现销售品牌(除销售方为厂家外)</w:t>
            </w:r>
            <w:r>
              <w:rPr>
                <w:rFonts w:hint="eastAsia" w:ascii="宋体" w:hAnsi="宋体"/>
                <w:b/>
                <w:kern w:val="0"/>
                <w:sz w:val="18"/>
                <w:szCs w:val="18"/>
                <w:lang w:eastAsia="zh-CN"/>
              </w:rPr>
              <w:t>、</w:t>
            </w:r>
            <w:r>
              <w:rPr>
                <w:rFonts w:hint="eastAsia" w:ascii="宋体" w:hAnsi="宋体"/>
                <w:b/>
                <w:kern w:val="0"/>
                <w:sz w:val="18"/>
                <w:szCs w:val="18"/>
              </w:rPr>
              <w:t>项目名称</w:t>
            </w:r>
            <w:r>
              <w:rPr>
                <w:rFonts w:hint="eastAsia" w:cs="宋体" w:asciiTheme="minorEastAsia" w:hAnsiTheme="minorEastAsia"/>
                <w:color w:val="000000" w:themeColor="text1"/>
                <w:kern w:val="0"/>
                <w:sz w:val="18"/>
                <w:szCs w:val="18"/>
                <w:lang w:eastAsia="zh-CN"/>
              </w:rPr>
              <w:t>，</w:t>
            </w:r>
            <w:r>
              <w:rPr>
                <w:rFonts w:hint="eastAsia" w:ascii="宋体" w:hAnsi="宋体"/>
                <w:b/>
                <w:kern w:val="0"/>
                <w:sz w:val="18"/>
                <w:szCs w:val="18"/>
              </w:rPr>
              <w:t>若以上未明确不得分；</w:t>
            </w:r>
          </w:p>
          <w:p>
            <w:pPr>
              <w:widowControl/>
              <w:jc w:val="left"/>
              <w:rPr>
                <w:rFonts w:ascii="宋体" w:hAnsi="宋体"/>
                <w:b/>
                <w:kern w:val="0"/>
                <w:sz w:val="18"/>
                <w:szCs w:val="18"/>
              </w:rPr>
            </w:pPr>
            <w:r>
              <w:rPr>
                <w:rFonts w:hint="eastAsia" w:ascii="宋体" w:hAnsi="宋体"/>
                <w:b/>
                <w:kern w:val="0"/>
                <w:sz w:val="18"/>
                <w:szCs w:val="18"/>
              </w:rPr>
              <w:t>3、合同金额须体现入库品类金额，若体现的金额为含其他产品金额，则合同清单须能单独显示清楚入库品类金额，否则按0.5分</w:t>
            </w:r>
            <w:r>
              <w:rPr>
                <w:rFonts w:hint="eastAsia" w:ascii="宋体" w:hAnsi="宋体"/>
                <w:b/>
                <w:bCs/>
                <w:kern w:val="0"/>
                <w:sz w:val="18"/>
                <w:szCs w:val="18"/>
              </w:rPr>
              <w:t>计取，并且最多认可10份合同。</w:t>
            </w:r>
          </w:p>
        </w:tc>
        <w:tc>
          <w:tcPr>
            <w:tcW w:w="709" w:type="dxa"/>
            <w:tcBorders>
              <w:top w:val="single" w:color="auto" w:sz="4" w:space="0"/>
              <w:left w:val="nil"/>
              <w:bottom w:val="single" w:color="auto" w:sz="4" w:space="0"/>
              <w:right w:val="single" w:color="auto" w:sz="4" w:space="0"/>
            </w:tcBorders>
          </w:tcPr>
          <w:p>
            <w:pPr>
              <w:widowControl/>
              <w:jc w:val="left"/>
              <w:rPr>
                <w:rFonts w:ascii="宋体" w:hAnsi="宋体"/>
                <w:kern w:val="0"/>
                <w:sz w:val="18"/>
                <w:szCs w:val="18"/>
              </w:rPr>
            </w:pPr>
          </w:p>
        </w:tc>
      </w:tr>
    </w:tbl>
    <w:p>
      <w:pPr>
        <w:adjustRightInd w:val="0"/>
        <w:snapToGrid w:val="0"/>
        <w:spacing w:line="480" w:lineRule="auto"/>
        <w:jc w:val="center"/>
        <w:rPr>
          <w:rFonts w:ascii="仿宋_GB2312" w:eastAsia="仿宋_GB2312"/>
          <w:sz w:val="28"/>
          <w:szCs w:val="28"/>
        </w:rPr>
      </w:pPr>
    </w:p>
    <w:p>
      <w:pPr>
        <w:widowControl/>
        <w:spacing w:line="360" w:lineRule="auto"/>
        <w:jc w:val="left"/>
        <w:rPr>
          <w:b/>
          <w:sz w:val="32"/>
          <w:szCs w:val="32"/>
        </w:rPr>
      </w:pPr>
      <w:r>
        <w:rPr>
          <w:rFonts w:hint="eastAsia"/>
          <w:b/>
          <w:sz w:val="32"/>
          <w:szCs w:val="32"/>
        </w:rPr>
        <w:t>附件</w:t>
      </w:r>
      <w:r>
        <w:rPr>
          <w:b/>
          <w:sz w:val="32"/>
          <w:szCs w:val="32"/>
        </w:rPr>
        <w:t>1</w:t>
      </w:r>
      <w:r>
        <w:rPr>
          <w:rFonts w:hint="eastAsia"/>
          <w:b/>
          <w:sz w:val="32"/>
          <w:szCs w:val="32"/>
        </w:rPr>
        <w:t>：</w:t>
      </w:r>
      <w:r>
        <w:rPr>
          <w:rFonts w:hint="eastAsia" w:cs="宋体"/>
          <w:b/>
          <w:bCs/>
          <w:kern w:val="0"/>
          <w:sz w:val="32"/>
          <w:szCs w:val="32"/>
        </w:rPr>
        <w:t>品牌基本信息登记表</w:t>
      </w:r>
    </w:p>
    <w:tbl>
      <w:tblPr>
        <w:tblStyle w:val="7"/>
        <w:tblW w:w="5000" w:type="pct"/>
        <w:jc w:val="center"/>
        <w:tblLayout w:type="autofit"/>
        <w:tblCellMar>
          <w:top w:w="0" w:type="dxa"/>
          <w:left w:w="108" w:type="dxa"/>
          <w:bottom w:w="0" w:type="dxa"/>
          <w:right w:w="108" w:type="dxa"/>
        </w:tblCellMar>
      </w:tblPr>
      <w:tblGrid>
        <w:gridCol w:w="1445"/>
        <w:gridCol w:w="1783"/>
        <w:gridCol w:w="1219"/>
        <w:gridCol w:w="1237"/>
        <w:gridCol w:w="97"/>
        <w:gridCol w:w="1133"/>
        <w:gridCol w:w="1608"/>
      </w:tblGrid>
      <w:tr>
        <w:tblPrEx>
          <w:tblCellMar>
            <w:top w:w="0" w:type="dxa"/>
            <w:left w:w="108" w:type="dxa"/>
            <w:bottom w:w="0" w:type="dxa"/>
            <w:right w:w="108" w:type="dxa"/>
          </w:tblCellMar>
        </w:tblPrEx>
        <w:trPr>
          <w:trHeight w:val="570" w:hRule="atLeast"/>
          <w:jc w:val="center"/>
        </w:trPr>
        <w:tc>
          <w:tcPr>
            <w:tcW w:w="5000" w:type="pct"/>
            <w:gridSpan w:val="7"/>
            <w:tcBorders>
              <w:top w:val="single" w:color="auto" w:sz="8" w:space="0"/>
              <w:left w:val="single" w:color="auto" w:sz="8" w:space="0"/>
              <w:bottom w:val="single" w:color="auto" w:sz="4" w:space="0"/>
              <w:right w:val="single" w:color="000000" w:sz="8" w:space="0"/>
            </w:tcBorders>
            <w:shd w:val="clear" w:color="auto" w:fill="auto"/>
            <w:vAlign w:val="center"/>
          </w:tcPr>
          <w:p>
            <w:pPr>
              <w:widowControl/>
              <w:jc w:val="center"/>
              <w:rPr>
                <w:rFonts w:cs="宋体"/>
                <w:b/>
                <w:bCs/>
                <w:kern w:val="0"/>
                <w:sz w:val="32"/>
                <w:szCs w:val="32"/>
              </w:rPr>
            </w:pPr>
            <w:r>
              <w:rPr>
                <w:rFonts w:hint="eastAsia" w:cs="宋体"/>
                <w:b/>
                <w:bCs/>
                <w:kern w:val="0"/>
                <w:sz w:val="32"/>
                <w:szCs w:val="32"/>
              </w:rPr>
              <w:t>品牌基本信息登记表</w:t>
            </w:r>
          </w:p>
        </w:tc>
      </w:tr>
      <w:tr>
        <w:tblPrEx>
          <w:tblCellMar>
            <w:top w:w="0" w:type="dxa"/>
            <w:left w:w="108" w:type="dxa"/>
            <w:bottom w:w="0" w:type="dxa"/>
            <w:right w:w="108" w:type="dxa"/>
          </w:tblCellMar>
        </w:tblPrEx>
        <w:trPr>
          <w:trHeight w:val="570" w:hRule="atLeast"/>
          <w:jc w:val="center"/>
        </w:trPr>
        <w:tc>
          <w:tcPr>
            <w:tcW w:w="848" w:type="pct"/>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cs="宋体"/>
                <w:kern w:val="0"/>
                <w:sz w:val="20"/>
                <w:szCs w:val="20"/>
              </w:rPr>
            </w:pPr>
            <w:r>
              <w:rPr>
                <w:rFonts w:hint="eastAsia" w:cs="宋体"/>
                <w:kern w:val="0"/>
                <w:sz w:val="20"/>
                <w:szCs w:val="20"/>
              </w:rPr>
              <w:t>品牌商标</w:t>
            </w:r>
          </w:p>
        </w:tc>
        <w:tc>
          <w:tcPr>
            <w:tcW w:w="1046" w:type="pct"/>
            <w:tcBorders>
              <w:top w:val="nil"/>
              <w:left w:val="nil"/>
              <w:bottom w:val="single" w:color="auto" w:sz="4" w:space="0"/>
              <w:right w:val="single" w:color="auto" w:sz="4" w:space="0"/>
            </w:tcBorders>
            <w:shd w:val="clear" w:color="auto" w:fill="auto"/>
            <w:noWrap/>
            <w:vAlign w:val="center"/>
          </w:tcPr>
          <w:p>
            <w:pPr>
              <w:widowControl/>
              <w:jc w:val="center"/>
              <w:rPr>
                <w:rFonts w:cs="宋体"/>
                <w:b/>
                <w:bCs/>
                <w:kern w:val="0"/>
                <w:sz w:val="20"/>
                <w:szCs w:val="20"/>
              </w:rPr>
            </w:pPr>
          </w:p>
        </w:tc>
        <w:tc>
          <w:tcPr>
            <w:tcW w:w="715" w:type="pct"/>
            <w:tcBorders>
              <w:top w:val="nil"/>
              <w:left w:val="nil"/>
              <w:bottom w:val="single" w:color="auto" w:sz="4" w:space="0"/>
              <w:right w:val="single" w:color="auto" w:sz="4" w:space="0"/>
            </w:tcBorders>
            <w:shd w:val="clear" w:color="auto" w:fill="auto"/>
            <w:noWrap/>
            <w:vAlign w:val="center"/>
          </w:tcPr>
          <w:p>
            <w:pPr>
              <w:widowControl/>
              <w:jc w:val="center"/>
              <w:rPr>
                <w:rFonts w:cs="宋体"/>
                <w:kern w:val="0"/>
                <w:sz w:val="20"/>
                <w:szCs w:val="20"/>
              </w:rPr>
            </w:pPr>
            <w:r>
              <w:rPr>
                <w:rFonts w:hint="eastAsia" w:cs="宋体"/>
                <w:kern w:val="0"/>
                <w:sz w:val="20"/>
                <w:szCs w:val="20"/>
              </w:rPr>
              <w:t>入库品类</w:t>
            </w:r>
          </w:p>
        </w:tc>
        <w:tc>
          <w:tcPr>
            <w:tcW w:w="2391" w:type="pct"/>
            <w:gridSpan w:val="4"/>
            <w:tcBorders>
              <w:top w:val="nil"/>
              <w:left w:val="nil"/>
              <w:bottom w:val="single" w:color="auto" w:sz="4" w:space="0"/>
              <w:right w:val="single" w:color="auto" w:sz="8" w:space="0"/>
            </w:tcBorders>
            <w:shd w:val="clear" w:color="auto" w:fill="auto"/>
            <w:noWrap/>
            <w:vAlign w:val="center"/>
          </w:tcPr>
          <w:p>
            <w:pPr>
              <w:widowControl/>
              <w:jc w:val="center"/>
              <w:rPr>
                <w:rFonts w:cs="宋体"/>
                <w:kern w:val="0"/>
                <w:sz w:val="20"/>
                <w:szCs w:val="20"/>
              </w:rPr>
            </w:pPr>
          </w:p>
        </w:tc>
      </w:tr>
      <w:tr>
        <w:tblPrEx>
          <w:tblCellMar>
            <w:top w:w="0" w:type="dxa"/>
            <w:left w:w="108" w:type="dxa"/>
            <w:bottom w:w="0" w:type="dxa"/>
            <w:right w:w="108" w:type="dxa"/>
          </w:tblCellMar>
        </w:tblPrEx>
        <w:trPr>
          <w:trHeight w:val="570" w:hRule="atLeast"/>
          <w:jc w:val="center"/>
        </w:trPr>
        <w:tc>
          <w:tcPr>
            <w:tcW w:w="848" w:type="pct"/>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cs="宋体"/>
                <w:kern w:val="0"/>
                <w:sz w:val="20"/>
                <w:szCs w:val="20"/>
              </w:rPr>
            </w:pPr>
            <w:r>
              <w:rPr>
                <w:rFonts w:hint="eastAsia" w:cs="宋体"/>
                <w:kern w:val="0"/>
                <w:sz w:val="20"/>
                <w:szCs w:val="20"/>
              </w:rPr>
              <w:t>制造厂家名称</w:t>
            </w:r>
          </w:p>
        </w:tc>
        <w:tc>
          <w:tcPr>
            <w:tcW w:w="1046" w:type="pct"/>
            <w:tcBorders>
              <w:top w:val="nil"/>
              <w:left w:val="nil"/>
              <w:bottom w:val="single" w:color="auto" w:sz="4" w:space="0"/>
              <w:right w:val="single" w:color="auto" w:sz="4" w:space="0"/>
            </w:tcBorders>
            <w:shd w:val="clear" w:color="auto" w:fill="auto"/>
            <w:vAlign w:val="center"/>
          </w:tcPr>
          <w:p>
            <w:pPr>
              <w:widowControl/>
              <w:jc w:val="center"/>
              <w:rPr>
                <w:rFonts w:cs="宋体"/>
                <w:kern w:val="0"/>
                <w:sz w:val="20"/>
                <w:szCs w:val="20"/>
              </w:rPr>
            </w:pPr>
          </w:p>
        </w:tc>
        <w:tc>
          <w:tcPr>
            <w:tcW w:w="715" w:type="pct"/>
            <w:tcBorders>
              <w:top w:val="nil"/>
              <w:left w:val="nil"/>
              <w:bottom w:val="single" w:color="auto" w:sz="4" w:space="0"/>
              <w:right w:val="single" w:color="auto" w:sz="4" w:space="0"/>
            </w:tcBorders>
            <w:shd w:val="clear" w:color="auto" w:fill="auto"/>
            <w:noWrap/>
            <w:vAlign w:val="center"/>
          </w:tcPr>
          <w:p>
            <w:pPr>
              <w:widowControl/>
              <w:jc w:val="center"/>
              <w:rPr>
                <w:rFonts w:cs="宋体"/>
                <w:kern w:val="0"/>
                <w:sz w:val="20"/>
                <w:szCs w:val="20"/>
              </w:rPr>
            </w:pPr>
            <w:r>
              <w:rPr>
                <w:rFonts w:hint="eastAsia" w:cs="宋体"/>
                <w:kern w:val="0"/>
                <w:sz w:val="20"/>
                <w:szCs w:val="20"/>
              </w:rPr>
              <w:t>公司电话</w:t>
            </w:r>
          </w:p>
        </w:tc>
        <w:tc>
          <w:tcPr>
            <w:tcW w:w="783"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cs="宋体"/>
                <w:kern w:val="0"/>
                <w:sz w:val="20"/>
                <w:szCs w:val="20"/>
              </w:rPr>
            </w:pPr>
          </w:p>
        </w:tc>
        <w:tc>
          <w:tcPr>
            <w:tcW w:w="665" w:type="pct"/>
            <w:tcBorders>
              <w:top w:val="nil"/>
              <w:left w:val="nil"/>
              <w:bottom w:val="single" w:color="auto" w:sz="4" w:space="0"/>
              <w:right w:val="single" w:color="auto" w:sz="4" w:space="0"/>
            </w:tcBorders>
            <w:shd w:val="clear" w:color="auto" w:fill="auto"/>
            <w:noWrap/>
            <w:vAlign w:val="center"/>
          </w:tcPr>
          <w:p>
            <w:pPr>
              <w:widowControl/>
              <w:jc w:val="center"/>
              <w:rPr>
                <w:rFonts w:cs="宋体"/>
                <w:kern w:val="0"/>
                <w:sz w:val="20"/>
                <w:szCs w:val="20"/>
              </w:rPr>
            </w:pPr>
            <w:r>
              <w:rPr>
                <w:rFonts w:hint="eastAsia" w:cs="宋体"/>
                <w:kern w:val="0"/>
                <w:sz w:val="20"/>
                <w:szCs w:val="20"/>
              </w:rPr>
              <w:t>登记时间</w:t>
            </w:r>
          </w:p>
        </w:tc>
        <w:tc>
          <w:tcPr>
            <w:tcW w:w="944" w:type="pct"/>
            <w:tcBorders>
              <w:top w:val="nil"/>
              <w:left w:val="nil"/>
              <w:bottom w:val="single" w:color="auto" w:sz="4" w:space="0"/>
              <w:right w:val="single" w:color="auto" w:sz="8" w:space="0"/>
            </w:tcBorders>
            <w:shd w:val="clear" w:color="auto" w:fill="auto"/>
            <w:noWrap/>
            <w:vAlign w:val="center"/>
          </w:tcPr>
          <w:p>
            <w:pPr>
              <w:widowControl/>
              <w:jc w:val="center"/>
              <w:rPr>
                <w:rFonts w:cs="宋体"/>
                <w:kern w:val="0"/>
                <w:sz w:val="20"/>
                <w:szCs w:val="20"/>
              </w:rPr>
            </w:pPr>
          </w:p>
        </w:tc>
      </w:tr>
      <w:tr>
        <w:tblPrEx>
          <w:tblCellMar>
            <w:top w:w="0" w:type="dxa"/>
            <w:left w:w="108" w:type="dxa"/>
            <w:bottom w:w="0" w:type="dxa"/>
            <w:right w:w="108" w:type="dxa"/>
          </w:tblCellMar>
        </w:tblPrEx>
        <w:trPr>
          <w:trHeight w:val="570" w:hRule="atLeast"/>
          <w:jc w:val="center"/>
        </w:trPr>
        <w:tc>
          <w:tcPr>
            <w:tcW w:w="848" w:type="pct"/>
            <w:tcBorders>
              <w:top w:val="nil"/>
              <w:left w:val="single" w:color="auto" w:sz="8" w:space="0"/>
              <w:bottom w:val="nil"/>
              <w:right w:val="single" w:color="auto" w:sz="4" w:space="0"/>
            </w:tcBorders>
            <w:shd w:val="clear" w:color="auto" w:fill="auto"/>
            <w:vAlign w:val="center"/>
          </w:tcPr>
          <w:p>
            <w:pPr>
              <w:widowControl/>
              <w:jc w:val="center"/>
              <w:rPr>
                <w:rFonts w:cs="宋体"/>
                <w:kern w:val="0"/>
                <w:sz w:val="20"/>
                <w:szCs w:val="20"/>
              </w:rPr>
            </w:pPr>
            <w:r>
              <w:rPr>
                <w:rFonts w:hint="eastAsia" w:cs="宋体"/>
                <w:kern w:val="0"/>
                <w:sz w:val="20"/>
                <w:szCs w:val="20"/>
              </w:rPr>
              <w:t>制造厂家负责人</w:t>
            </w:r>
          </w:p>
        </w:tc>
        <w:tc>
          <w:tcPr>
            <w:tcW w:w="1046" w:type="pct"/>
            <w:tcBorders>
              <w:top w:val="nil"/>
              <w:left w:val="nil"/>
              <w:bottom w:val="nil"/>
              <w:right w:val="nil"/>
            </w:tcBorders>
            <w:shd w:val="clear" w:color="auto" w:fill="auto"/>
            <w:noWrap/>
            <w:vAlign w:val="center"/>
          </w:tcPr>
          <w:p>
            <w:pPr>
              <w:widowControl/>
              <w:jc w:val="center"/>
              <w:rPr>
                <w:rFonts w:cs="宋体"/>
                <w:kern w:val="0"/>
                <w:sz w:val="20"/>
                <w:szCs w:val="20"/>
              </w:rPr>
            </w:pPr>
          </w:p>
        </w:tc>
        <w:tc>
          <w:tcPr>
            <w:tcW w:w="71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kern w:val="0"/>
                <w:sz w:val="20"/>
                <w:szCs w:val="20"/>
              </w:rPr>
            </w:pPr>
            <w:r>
              <w:rPr>
                <w:rFonts w:hint="eastAsia" w:cs="宋体"/>
                <w:kern w:val="0"/>
                <w:sz w:val="20"/>
                <w:szCs w:val="20"/>
              </w:rPr>
              <w:t>固定电话及手机号码</w:t>
            </w:r>
          </w:p>
        </w:tc>
        <w:tc>
          <w:tcPr>
            <w:tcW w:w="783" w:type="pct"/>
            <w:gridSpan w:val="2"/>
            <w:tcBorders>
              <w:top w:val="nil"/>
              <w:left w:val="nil"/>
              <w:bottom w:val="nil"/>
              <w:right w:val="single" w:color="auto" w:sz="4" w:space="0"/>
            </w:tcBorders>
            <w:shd w:val="clear" w:color="auto" w:fill="auto"/>
            <w:noWrap/>
            <w:vAlign w:val="center"/>
          </w:tcPr>
          <w:p>
            <w:pPr>
              <w:widowControl/>
              <w:jc w:val="center"/>
              <w:rPr>
                <w:rFonts w:cs="宋体"/>
                <w:kern w:val="0"/>
                <w:sz w:val="20"/>
                <w:szCs w:val="20"/>
              </w:rPr>
            </w:pPr>
          </w:p>
        </w:tc>
        <w:tc>
          <w:tcPr>
            <w:tcW w:w="665" w:type="pct"/>
            <w:tcBorders>
              <w:top w:val="nil"/>
              <w:left w:val="nil"/>
              <w:bottom w:val="single" w:color="auto" w:sz="4" w:space="0"/>
              <w:right w:val="single" w:color="auto" w:sz="4" w:space="0"/>
            </w:tcBorders>
            <w:shd w:val="clear" w:color="auto" w:fill="auto"/>
            <w:noWrap/>
            <w:vAlign w:val="center"/>
          </w:tcPr>
          <w:p>
            <w:pPr>
              <w:widowControl/>
              <w:jc w:val="center"/>
              <w:rPr>
                <w:rFonts w:cs="宋体"/>
                <w:kern w:val="0"/>
                <w:sz w:val="20"/>
                <w:szCs w:val="20"/>
              </w:rPr>
            </w:pPr>
            <w:r>
              <w:rPr>
                <w:rFonts w:hint="eastAsia" w:cs="宋体"/>
                <w:kern w:val="0"/>
                <w:sz w:val="20"/>
                <w:szCs w:val="20"/>
              </w:rPr>
              <w:t>邮箱</w:t>
            </w:r>
          </w:p>
        </w:tc>
        <w:tc>
          <w:tcPr>
            <w:tcW w:w="944" w:type="pct"/>
            <w:tcBorders>
              <w:top w:val="nil"/>
              <w:left w:val="nil"/>
              <w:bottom w:val="nil"/>
              <w:right w:val="single" w:color="auto" w:sz="8" w:space="0"/>
            </w:tcBorders>
            <w:shd w:val="clear" w:color="auto" w:fill="auto"/>
            <w:noWrap/>
            <w:vAlign w:val="center"/>
          </w:tcPr>
          <w:p>
            <w:pPr>
              <w:widowControl/>
              <w:jc w:val="center"/>
              <w:rPr>
                <w:rFonts w:cs="宋体"/>
                <w:kern w:val="0"/>
                <w:sz w:val="20"/>
                <w:szCs w:val="20"/>
              </w:rPr>
            </w:pPr>
          </w:p>
        </w:tc>
      </w:tr>
      <w:tr>
        <w:tblPrEx>
          <w:tblCellMar>
            <w:top w:w="0" w:type="dxa"/>
            <w:left w:w="108" w:type="dxa"/>
            <w:bottom w:w="0" w:type="dxa"/>
            <w:right w:w="108" w:type="dxa"/>
          </w:tblCellMar>
        </w:tblPrEx>
        <w:trPr>
          <w:trHeight w:val="720" w:hRule="atLeast"/>
          <w:jc w:val="center"/>
        </w:trPr>
        <w:tc>
          <w:tcPr>
            <w:tcW w:w="848" w:type="pct"/>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cs="宋体"/>
                <w:kern w:val="0"/>
                <w:sz w:val="20"/>
                <w:szCs w:val="20"/>
              </w:rPr>
            </w:pPr>
            <w:r>
              <w:rPr>
                <w:rFonts w:hint="eastAsia" w:cs="宋体"/>
                <w:kern w:val="0"/>
                <w:sz w:val="20"/>
                <w:szCs w:val="20"/>
              </w:rPr>
              <w:t>厂家对接人</w:t>
            </w:r>
          </w:p>
        </w:tc>
        <w:tc>
          <w:tcPr>
            <w:tcW w:w="1046" w:type="pct"/>
            <w:tcBorders>
              <w:top w:val="single" w:color="auto" w:sz="4" w:space="0"/>
              <w:left w:val="nil"/>
              <w:bottom w:val="single" w:color="auto" w:sz="8" w:space="0"/>
              <w:right w:val="single" w:color="auto" w:sz="4" w:space="0"/>
            </w:tcBorders>
            <w:shd w:val="clear" w:color="auto" w:fill="auto"/>
            <w:noWrap/>
            <w:vAlign w:val="center"/>
          </w:tcPr>
          <w:p>
            <w:pPr>
              <w:widowControl/>
              <w:jc w:val="center"/>
              <w:rPr>
                <w:rFonts w:cs="宋体"/>
                <w:kern w:val="0"/>
                <w:sz w:val="20"/>
                <w:szCs w:val="20"/>
              </w:rPr>
            </w:pPr>
          </w:p>
        </w:tc>
        <w:tc>
          <w:tcPr>
            <w:tcW w:w="715" w:type="pct"/>
            <w:tcBorders>
              <w:top w:val="nil"/>
              <w:left w:val="nil"/>
              <w:bottom w:val="single" w:color="auto" w:sz="8" w:space="0"/>
              <w:right w:val="single" w:color="auto" w:sz="4" w:space="0"/>
            </w:tcBorders>
            <w:shd w:val="clear" w:color="auto" w:fill="auto"/>
            <w:vAlign w:val="center"/>
          </w:tcPr>
          <w:p>
            <w:pPr>
              <w:widowControl/>
              <w:jc w:val="center"/>
              <w:rPr>
                <w:rFonts w:cs="宋体"/>
                <w:kern w:val="0"/>
                <w:sz w:val="20"/>
                <w:szCs w:val="20"/>
              </w:rPr>
            </w:pPr>
            <w:r>
              <w:rPr>
                <w:rFonts w:hint="eastAsia" w:cs="宋体"/>
                <w:kern w:val="0"/>
                <w:sz w:val="20"/>
                <w:szCs w:val="20"/>
              </w:rPr>
              <w:t>固定电话及手机号码</w:t>
            </w:r>
          </w:p>
        </w:tc>
        <w:tc>
          <w:tcPr>
            <w:tcW w:w="783" w:type="pct"/>
            <w:gridSpan w:val="2"/>
            <w:tcBorders>
              <w:top w:val="single" w:color="auto" w:sz="4" w:space="0"/>
              <w:left w:val="nil"/>
              <w:bottom w:val="single" w:color="auto" w:sz="8" w:space="0"/>
              <w:right w:val="single" w:color="auto" w:sz="4" w:space="0"/>
            </w:tcBorders>
            <w:shd w:val="clear" w:color="auto" w:fill="auto"/>
            <w:noWrap/>
            <w:vAlign w:val="center"/>
          </w:tcPr>
          <w:p>
            <w:pPr>
              <w:widowControl/>
              <w:jc w:val="center"/>
              <w:rPr>
                <w:rFonts w:cs="宋体"/>
                <w:kern w:val="0"/>
                <w:sz w:val="20"/>
                <w:szCs w:val="20"/>
              </w:rPr>
            </w:pPr>
          </w:p>
        </w:tc>
        <w:tc>
          <w:tcPr>
            <w:tcW w:w="665" w:type="pct"/>
            <w:tcBorders>
              <w:top w:val="nil"/>
              <w:left w:val="nil"/>
              <w:bottom w:val="single" w:color="auto" w:sz="8" w:space="0"/>
              <w:right w:val="single" w:color="auto" w:sz="4" w:space="0"/>
            </w:tcBorders>
            <w:shd w:val="clear" w:color="auto" w:fill="auto"/>
            <w:noWrap/>
            <w:vAlign w:val="center"/>
          </w:tcPr>
          <w:p>
            <w:pPr>
              <w:widowControl/>
              <w:jc w:val="center"/>
              <w:rPr>
                <w:rFonts w:cs="宋体"/>
                <w:kern w:val="0"/>
                <w:sz w:val="20"/>
                <w:szCs w:val="20"/>
              </w:rPr>
            </w:pPr>
            <w:r>
              <w:rPr>
                <w:rFonts w:hint="eastAsia" w:cs="宋体"/>
                <w:kern w:val="0"/>
                <w:sz w:val="20"/>
                <w:szCs w:val="20"/>
              </w:rPr>
              <w:t>邮箱</w:t>
            </w:r>
          </w:p>
        </w:tc>
        <w:tc>
          <w:tcPr>
            <w:tcW w:w="944" w:type="pct"/>
            <w:tcBorders>
              <w:top w:val="single" w:color="auto" w:sz="4" w:space="0"/>
              <w:left w:val="nil"/>
              <w:bottom w:val="single" w:color="auto" w:sz="8" w:space="0"/>
              <w:right w:val="single" w:color="auto" w:sz="8" w:space="0"/>
            </w:tcBorders>
            <w:shd w:val="clear" w:color="auto" w:fill="auto"/>
            <w:noWrap/>
            <w:vAlign w:val="center"/>
          </w:tcPr>
          <w:p>
            <w:pPr>
              <w:widowControl/>
              <w:jc w:val="center"/>
              <w:rPr>
                <w:rFonts w:cs="宋体"/>
                <w:kern w:val="0"/>
                <w:sz w:val="20"/>
                <w:szCs w:val="20"/>
              </w:rPr>
            </w:pPr>
          </w:p>
        </w:tc>
      </w:tr>
      <w:tr>
        <w:tblPrEx>
          <w:tblCellMar>
            <w:top w:w="0" w:type="dxa"/>
            <w:left w:w="108" w:type="dxa"/>
            <w:bottom w:w="0" w:type="dxa"/>
            <w:right w:w="108" w:type="dxa"/>
          </w:tblCellMar>
        </w:tblPrEx>
        <w:trPr>
          <w:trHeight w:val="932" w:hRule="atLeast"/>
          <w:jc w:val="center"/>
        </w:trPr>
        <w:tc>
          <w:tcPr>
            <w:tcW w:w="848" w:type="pct"/>
            <w:tcBorders>
              <w:top w:val="nil"/>
              <w:left w:val="single" w:color="auto" w:sz="8" w:space="0"/>
              <w:bottom w:val="single" w:color="auto" w:sz="8" w:space="0"/>
              <w:right w:val="nil"/>
            </w:tcBorders>
            <w:shd w:val="clear" w:color="auto" w:fill="auto"/>
            <w:vAlign w:val="center"/>
          </w:tcPr>
          <w:p>
            <w:pPr>
              <w:widowControl/>
              <w:jc w:val="center"/>
              <w:rPr>
                <w:rFonts w:cs="宋体"/>
                <w:kern w:val="0"/>
                <w:sz w:val="20"/>
                <w:szCs w:val="20"/>
              </w:rPr>
            </w:pPr>
            <w:r>
              <w:rPr>
                <w:rFonts w:hint="eastAsia" w:cs="宋体"/>
                <w:kern w:val="0"/>
                <w:sz w:val="20"/>
                <w:szCs w:val="20"/>
              </w:rPr>
              <w:t>制造厂家简介</w:t>
            </w:r>
          </w:p>
        </w:tc>
        <w:tc>
          <w:tcPr>
            <w:tcW w:w="4152" w:type="pct"/>
            <w:gridSpan w:val="6"/>
            <w:tcBorders>
              <w:top w:val="nil"/>
              <w:left w:val="single" w:color="auto" w:sz="4" w:space="0"/>
              <w:bottom w:val="single" w:color="auto" w:sz="8" w:space="0"/>
              <w:right w:val="single" w:color="000000" w:sz="8" w:space="0"/>
            </w:tcBorders>
            <w:shd w:val="clear" w:color="auto" w:fill="auto"/>
            <w:noWrap/>
            <w:vAlign w:val="center"/>
          </w:tcPr>
          <w:p>
            <w:pPr>
              <w:widowControl/>
              <w:jc w:val="left"/>
              <w:rPr>
                <w:rFonts w:cs="宋体"/>
                <w:kern w:val="0"/>
                <w:sz w:val="20"/>
                <w:szCs w:val="20"/>
              </w:rPr>
            </w:pPr>
            <w:r>
              <w:rPr>
                <w:rFonts w:hint="eastAsia" w:cs="宋体"/>
                <w:kern w:val="0"/>
                <w:sz w:val="20"/>
                <w:szCs w:val="20"/>
              </w:rPr>
              <w:t>（注册资金及工厂规模等）：</w:t>
            </w:r>
          </w:p>
        </w:tc>
      </w:tr>
      <w:tr>
        <w:tblPrEx>
          <w:tblCellMar>
            <w:top w:w="0" w:type="dxa"/>
            <w:left w:w="108" w:type="dxa"/>
            <w:bottom w:w="0" w:type="dxa"/>
            <w:right w:w="108" w:type="dxa"/>
          </w:tblCellMar>
        </w:tblPrEx>
        <w:trPr>
          <w:trHeight w:val="934" w:hRule="atLeast"/>
          <w:jc w:val="center"/>
        </w:trPr>
        <w:tc>
          <w:tcPr>
            <w:tcW w:w="848" w:type="pct"/>
            <w:tcBorders>
              <w:top w:val="nil"/>
              <w:left w:val="single" w:color="auto" w:sz="8" w:space="0"/>
              <w:bottom w:val="single" w:color="auto" w:sz="8" w:space="0"/>
              <w:right w:val="nil"/>
            </w:tcBorders>
            <w:shd w:val="clear" w:color="auto" w:fill="auto"/>
            <w:vAlign w:val="center"/>
          </w:tcPr>
          <w:p>
            <w:pPr>
              <w:widowControl/>
              <w:jc w:val="center"/>
              <w:rPr>
                <w:rFonts w:cs="宋体"/>
                <w:kern w:val="0"/>
                <w:sz w:val="20"/>
                <w:szCs w:val="20"/>
              </w:rPr>
            </w:pPr>
            <w:r>
              <w:rPr>
                <w:rFonts w:hint="eastAsia" w:cs="宋体"/>
                <w:kern w:val="0"/>
                <w:sz w:val="20"/>
                <w:szCs w:val="20"/>
              </w:rPr>
              <w:t>福建区域主要代理商</w:t>
            </w:r>
          </w:p>
        </w:tc>
        <w:tc>
          <w:tcPr>
            <w:tcW w:w="4152" w:type="pct"/>
            <w:gridSpan w:val="6"/>
            <w:tcBorders>
              <w:top w:val="single" w:color="auto" w:sz="8" w:space="0"/>
              <w:left w:val="single" w:color="auto" w:sz="4" w:space="0"/>
              <w:bottom w:val="single" w:color="auto" w:sz="8" w:space="0"/>
              <w:right w:val="single" w:color="000000" w:sz="8" w:space="0"/>
            </w:tcBorders>
            <w:shd w:val="clear" w:color="auto" w:fill="auto"/>
            <w:noWrap/>
            <w:vAlign w:val="center"/>
          </w:tcPr>
          <w:p>
            <w:pPr>
              <w:widowControl/>
              <w:jc w:val="center"/>
              <w:rPr>
                <w:rFonts w:cs="宋体"/>
                <w:b/>
                <w:bCs/>
                <w:kern w:val="0"/>
                <w:sz w:val="20"/>
                <w:szCs w:val="20"/>
              </w:rPr>
            </w:pPr>
          </w:p>
        </w:tc>
      </w:tr>
      <w:tr>
        <w:tblPrEx>
          <w:tblCellMar>
            <w:top w:w="0" w:type="dxa"/>
            <w:left w:w="108" w:type="dxa"/>
            <w:bottom w:w="0" w:type="dxa"/>
            <w:right w:w="108" w:type="dxa"/>
          </w:tblCellMar>
        </w:tblPrEx>
        <w:trPr>
          <w:trHeight w:val="950" w:hRule="atLeast"/>
          <w:jc w:val="center"/>
        </w:trPr>
        <w:tc>
          <w:tcPr>
            <w:tcW w:w="848" w:type="pct"/>
            <w:tcBorders>
              <w:top w:val="nil"/>
              <w:left w:val="single" w:color="auto" w:sz="8" w:space="0"/>
              <w:bottom w:val="single" w:color="auto" w:sz="8" w:space="0"/>
              <w:right w:val="nil"/>
            </w:tcBorders>
            <w:shd w:val="clear" w:color="auto" w:fill="auto"/>
            <w:vAlign w:val="center"/>
          </w:tcPr>
          <w:p>
            <w:pPr>
              <w:widowControl/>
              <w:jc w:val="center"/>
              <w:rPr>
                <w:rFonts w:cs="宋体"/>
                <w:kern w:val="0"/>
                <w:sz w:val="20"/>
                <w:szCs w:val="20"/>
              </w:rPr>
            </w:pPr>
            <w:r>
              <w:rPr>
                <w:rFonts w:hint="eastAsia" w:cs="宋体"/>
                <w:kern w:val="0"/>
                <w:sz w:val="20"/>
                <w:szCs w:val="20"/>
              </w:rPr>
              <w:t>主要产品类型</w:t>
            </w:r>
          </w:p>
        </w:tc>
        <w:tc>
          <w:tcPr>
            <w:tcW w:w="4152" w:type="pct"/>
            <w:gridSpan w:val="6"/>
            <w:tcBorders>
              <w:top w:val="single" w:color="auto" w:sz="8" w:space="0"/>
              <w:left w:val="single" w:color="auto" w:sz="4" w:space="0"/>
              <w:bottom w:val="single" w:color="auto" w:sz="8" w:space="0"/>
              <w:right w:val="single" w:color="000000" w:sz="8" w:space="0"/>
            </w:tcBorders>
            <w:shd w:val="clear" w:color="auto" w:fill="auto"/>
            <w:noWrap/>
            <w:vAlign w:val="center"/>
          </w:tcPr>
          <w:p>
            <w:pPr>
              <w:widowControl/>
              <w:jc w:val="center"/>
              <w:rPr>
                <w:rFonts w:cs="宋体"/>
                <w:b/>
                <w:bCs/>
                <w:kern w:val="0"/>
                <w:sz w:val="20"/>
                <w:szCs w:val="20"/>
              </w:rPr>
            </w:pPr>
          </w:p>
        </w:tc>
      </w:tr>
      <w:tr>
        <w:tblPrEx>
          <w:tblCellMar>
            <w:top w:w="0" w:type="dxa"/>
            <w:left w:w="108" w:type="dxa"/>
            <w:bottom w:w="0" w:type="dxa"/>
            <w:right w:w="108" w:type="dxa"/>
          </w:tblCellMar>
        </w:tblPrEx>
        <w:trPr>
          <w:trHeight w:val="702" w:hRule="atLeast"/>
          <w:jc w:val="center"/>
        </w:trPr>
        <w:tc>
          <w:tcPr>
            <w:tcW w:w="848" w:type="pct"/>
            <w:tcBorders>
              <w:top w:val="nil"/>
              <w:left w:val="single" w:color="auto" w:sz="8" w:space="0"/>
              <w:bottom w:val="nil"/>
              <w:right w:val="single" w:color="auto" w:sz="4" w:space="0"/>
            </w:tcBorders>
            <w:shd w:val="clear" w:color="auto" w:fill="auto"/>
            <w:vAlign w:val="center"/>
          </w:tcPr>
          <w:p>
            <w:pPr>
              <w:widowControl/>
              <w:jc w:val="center"/>
              <w:rPr>
                <w:rFonts w:cs="宋体"/>
                <w:b/>
                <w:bCs/>
                <w:kern w:val="0"/>
                <w:sz w:val="20"/>
                <w:szCs w:val="20"/>
              </w:rPr>
            </w:pPr>
            <w:r>
              <w:rPr>
                <w:rFonts w:hint="eastAsia" w:cs="宋体"/>
                <w:b/>
                <w:bCs/>
                <w:kern w:val="0"/>
                <w:sz w:val="20"/>
                <w:szCs w:val="20"/>
              </w:rPr>
              <w:t>常用产品名称</w:t>
            </w:r>
          </w:p>
        </w:tc>
        <w:tc>
          <w:tcPr>
            <w:tcW w:w="1761" w:type="pct"/>
            <w:gridSpan w:val="2"/>
            <w:tcBorders>
              <w:top w:val="single" w:color="auto" w:sz="8" w:space="0"/>
              <w:left w:val="nil"/>
              <w:bottom w:val="nil"/>
              <w:right w:val="nil"/>
            </w:tcBorders>
            <w:shd w:val="clear" w:color="auto" w:fill="auto"/>
            <w:vAlign w:val="center"/>
          </w:tcPr>
          <w:p>
            <w:pPr>
              <w:widowControl/>
              <w:jc w:val="center"/>
              <w:rPr>
                <w:rFonts w:cs="宋体"/>
                <w:b/>
                <w:bCs/>
                <w:kern w:val="0"/>
                <w:sz w:val="20"/>
                <w:szCs w:val="20"/>
              </w:rPr>
            </w:pPr>
            <w:r>
              <w:rPr>
                <w:rFonts w:hint="eastAsia" w:cs="宋体"/>
                <w:b/>
                <w:bCs/>
                <w:kern w:val="0"/>
                <w:sz w:val="20"/>
                <w:szCs w:val="20"/>
              </w:rPr>
              <w:t>规格</w:t>
            </w:r>
            <w:r>
              <w:rPr>
                <w:rFonts w:cs="宋体"/>
                <w:b/>
                <w:bCs/>
                <w:kern w:val="0"/>
                <w:sz w:val="20"/>
                <w:szCs w:val="20"/>
              </w:rPr>
              <w:t>/</w:t>
            </w:r>
            <w:r>
              <w:rPr>
                <w:rFonts w:hint="eastAsia" w:cs="宋体"/>
                <w:b/>
                <w:bCs/>
                <w:kern w:val="0"/>
                <w:sz w:val="20"/>
                <w:szCs w:val="20"/>
              </w:rPr>
              <w:t>系列</w:t>
            </w:r>
            <w:r>
              <w:rPr>
                <w:rFonts w:cs="宋体"/>
                <w:b/>
                <w:bCs/>
                <w:kern w:val="0"/>
                <w:sz w:val="20"/>
                <w:szCs w:val="20"/>
              </w:rPr>
              <w:t>(</w:t>
            </w:r>
            <w:r>
              <w:rPr>
                <w:rFonts w:hint="eastAsia" w:cs="宋体"/>
                <w:b/>
                <w:bCs/>
                <w:kern w:val="0"/>
                <w:sz w:val="20"/>
                <w:szCs w:val="20"/>
              </w:rPr>
              <w:t>技术参数</w:t>
            </w:r>
            <w:r>
              <w:rPr>
                <w:rFonts w:cs="宋体"/>
                <w:b/>
                <w:bCs/>
                <w:kern w:val="0"/>
                <w:sz w:val="20"/>
                <w:szCs w:val="20"/>
              </w:rPr>
              <w:t>)</w:t>
            </w:r>
          </w:p>
        </w:tc>
        <w:tc>
          <w:tcPr>
            <w:tcW w:w="726" w:type="pct"/>
            <w:tcBorders>
              <w:top w:val="single" w:color="auto" w:sz="8" w:space="0"/>
              <w:left w:val="single" w:color="auto" w:sz="4" w:space="0"/>
              <w:bottom w:val="nil"/>
              <w:right w:val="single" w:color="auto" w:sz="4" w:space="0"/>
            </w:tcBorders>
            <w:shd w:val="clear" w:color="auto" w:fill="auto"/>
            <w:vAlign w:val="center"/>
          </w:tcPr>
          <w:p>
            <w:pPr>
              <w:widowControl/>
              <w:jc w:val="center"/>
              <w:rPr>
                <w:rFonts w:cs="宋体"/>
                <w:b/>
                <w:bCs/>
                <w:kern w:val="0"/>
                <w:sz w:val="20"/>
                <w:szCs w:val="20"/>
              </w:rPr>
            </w:pPr>
            <w:r>
              <w:rPr>
                <w:rFonts w:hint="eastAsia" w:cs="宋体"/>
                <w:b/>
                <w:bCs/>
                <w:kern w:val="0"/>
                <w:sz w:val="20"/>
                <w:szCs w:val="20"/>
              </w:rPr>
              <w:t>价格区间（</w:t>
            </w:r>
            <w:r>
              <w:rPr>
                <w:rFonts w:cs="宋体"/>
                <w:b/>
                <w:bCs/>
                <w:kern w:val="0"/>
                <w:sz w:val="20"/>
                <w:szCs w:val="20"/>
              </w:rPr>
              <w:t xml:space="preserve"> </w:t>
            </w:r>
            <w:r>
              <w:rPr>
                <w:rFonts w:hint="eastAsia" w:cs="宋体"/>
                <w:b/>
                <w:bCs/>
                <w:kern w:val="0"/>
                <w:sz w:val="20"/>
                <w:szCs w:val="20"/>
              </w:rPr>
              <w:t>元</w:t>
            </w:r>
            <w:r>
              <w:rPr>
                <w:rFonts w:cs="宋体"/>
                <w:b/>
                <w:bCs/>
                <w:kern w:val="0"/>
                <w:sz w:val="20"/>
                <w:szCs w:val="20"/>
              </w:rPr>
              <w:t xml:space="preserve">~ </w:t>
            </w:r>
            <w:r>
              <w:rPr>
                <w:rFonts w:hint="eastAsia" w:cs="宋体"/>
                <w:b/>
                <w:bCs/>
                <w:kern w:val="0"/>
                <w:sz w:val="20"/>
                <w:szCs w:val="20"/>
              </w:rPr>
              <w:t>元）</w:t>
            </w:r>
          </w:p>
        </w:tc>
        <w:tc>
          <w:tcPr>
            <w:tcW w:w="1666" w:type="pct"/>
            <w:gridSpan w:val="3"/>
            <w:tcBorders>
              <w:top w:val="nil"/>
              <w:left w:val="nil"/>
              <w:bottom w:val="nil"/>
              <w:right w:val="single" w:color="auto" w:sz="8" w:space="0"/>
            </w:tcBorders>
            <w:shd w:val="clear" w:color="auto" w:fill="auto"/>
            <w:vAlign w:val="center"/>
          </w:tcPr>
          <w:p>
            <w:pPr>
              <w:widowControl/>
              <w:jc w:val="center"/>
              <w:rPr>
                <w:rFonts w:cs="宋体"/>
                <w:b/>
                <w:bCs/>
                <w:kern w:val="0"/>
                <w:sz w:val="20"/>
                <w:szCs w:val="20"/>
              </w:rPr>
            </w:pPr>
            <w:r>
              <w:rPr>
                <w:rFonts w:hint="eastAsia" w:cs="宋体"/>
                <w:b/>
                <w:bCs/>
                <w:kern w:val="0"/>
                <w:sz w:val="20"/>
                <w:szCs w:val="20"/>
              </w:rPr>
              <w:t>适用类型及场所</w:t>
            </w:r>
          </w:p>
        </w:tc>
      </w:tr>
      <w:tr>
        <w:tblPrEx>
          <w:tblCellMar>
            <w:top w:w="0" w:type="dxa"/>
            <w:left w:w="108" w:type="dxa"/>
            <w:bottom w:w="0" w:type="dxa"/>
            <w:right w:w="108" w:type="dxa"/>
          </w:tblCellMar>
        </w:tblPrEx>
        <w:trPr>
          <w:trHeight w:val="80" w:hRule="atLeast"/>
          <w:jc w:val="center"/>
        </w:trPr>
        <w:tc>
          <w:tcPr>
            <w:tcW w:w="848"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cs="宋体"/>
                <w:kern w:val="0"/>
                <w:sz w:val="20"/>
                <w:szCs w:val="20"/>
              </w:rPr>
            </w:pPr>
          </w:p>
        </w:tc>
        <w:tc>
          <w:tcPr>
            <w:tcW w:w="1761" w:type="pct"/>
            <w:gridSpan w:val="2"/>
            <w:tcBorders>
              <w:top w:val="nil"/>
              <w:left w:val="nil"/>
              <w:bottom w:val="single" w:color="auto" w:sz="4" w:space="0"/>
              <w:right w:val="nil"/>
            </w:tcBorders>
            <w:shd w:val="clear" w:color="auto" w:fill="auto"/>
            <w:vAlign w:val="center"/>
          </w:tcPr>
          <w:p>
            <w:pPr>
              <w:widowControl/>
              <w:jc w:val="center"/>
              <w:rPr>
                <w:rFonts w:cs="宋体"/>
                <w:b/>
                <w:bCs/>
                <w:kern w:val="0"/>
                <w:sz w:val="20"/>
                <w:szCs w:val="20"/>
              </w:rPr>
            </w:pPr>
          </w:p>
        </w:tc>
        <w:tc>
          <w:tcPr>
            <w:tcW w:w="726"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b/>
                <w:bCs/>
                <w:kern w:val="0"/>
                <w:sz w:val="20"/>
                <w:szCs w:val="20"/>
              </w:rPr>
            </w:pPr>
          </w:p>
        </w:tc>
        <w:tc>
          <w:tcPr>
            <w:tcW w:w="1666" w:type="pct"/>
            <w:gridSpan w:val="3"/>
            <w:tcBorders>
              <w:top w:val="nil"/>
              <w:left w:val="nil"/>
              <w:bottom w:val="single" w:color="auto" w:sz="4" w:space="0"/>
              <w:right w:val="single" w:color="auto" w:sz="8" w:space="0"/>
            </w:tcBorders>
            <w:shd w:val="clear" w:color="auto" w:fill="auto"/>
            <w:vAlign w:val="center"/>
          </w:tcPr>
          <w:p>
            <w:pPr>
              <w:widowControl/>
              <w:jc w:val="center"/>
              <w:rPr>
                <w:rFonts w:cs="宋体"/>
                <w:b/>
                <w:bCs/>
                <w:kern w:val="0"/>
                <w:sz w:val="20"/>
                <w:szCs w:val="20"/>
              </w:rPr>
            </w:pPr>
          </w:p>
        </w:tc>
      </w:tr>
      <w:tr>
        <w:tblPrEx>
          <w:tblCellMar>
            <w:top w:w="0" w:type="dxa"/>
            <w:left w:w="108" w:type="dxa"/>
            <w:bottom w:w="0" w:type="dxa"/>
            <w:right w:w="108" w:type="dxa"/>
          </w:tblCellMar>
        </w:tblPrEx>
        <w:trPr>
          <w:trHeight w:val="702" w:hRule="atLeast"/>
          <w:jc w:val="center"/>
        </w:trPr>
        <w:tc>
          <w:tcPr>
            <w:tcW w:w="848" w:type="pct"/>
            <w:tcBorders>
              <w:top w:val="nil"/>
              <w:left w:val="single" w:color="auto" w:sz="8" w:space="0"/>
              <w:bottom w:val="single" w:color="auto" w:sz="4" w:space="0"/>
              <w:right w:val="single" w:color="auto" w:sz="4" w:space="0"/>
            </w:tcBorders>
            <w:shd w:val="clear" w:color="auto" w:fill="auto"/>
            <w:vAlign w:val="center"/>
          </w:tcPr>
          <w:p>
            <w:pPr>
              <w:widowControl/>
              <w:jc w:val="left"/>
              <w:rPr>
                <w:rFonts w:cs="宋体"/>
                <w:kern w:val="0"/>
                <w:sz w:val="20"/>
                <w:szCs w:val="20"/>
              </w:rPr>
            </w:pPr>
          </w:p>
        </w:tc>
        <w:tc>
          <w:tcPr>
            <w:tcW w:w="1761" w:type="pct"/>
            <w:gridSpan w:val="2"/>
            <w:tcBorders>
              <w:top w:val="nil"/>
              <w:left w:val="nil"/>
              <w:bottom w:val="single" w:color="auto" w:sz="4" w:space="0"/>
              <w:right w:val="nil"/>
            </w:tcBorders>
            <w:shd w:val="clear" w:color="auto" w:fill="auto"/>
            <w:vAlign w:val="center"/>
          </w:tcPr>
          <w:p>
            <w:pPr>
              <w:widowControl/>
              <w:jc w:val="left"/>
              <w:rPr>
                <w:rFonts w:cs="宋体"/>
                <w:b/>
                <w:bCs/>
                <w:kern w:val="0"/>
                <w:sz w:val="20"/>
                <w:szCs w:val="20"/>
              </w:rPr>
            </w:pPr>
          </w:p>
        </w:tc>
        <w:tc>
          <w:tcPr>
            <w:tcW w:w="726"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bCs/>
                <w:kern w:val="0"/>
                <w:sz w:val="20"/>
                <w:szCs w:val="20"/>
              </w:rPr>
            </w:pPr>
            <w:r>
              <w:rPr>
                <w:rFonts w:hint="eastAsia" w:cs="宋体"/>
                <w:bCs/>
                <w:kern w:val="0"/>
                <w:sz w:val="20"/>
                <w:szCs w:val="20"/>
              </w:rPr>
              <w:t>参考价格</w:t>
            </w:r>
          </w:p>
        </w:tc>
        <w:tc>
          <w:tcPr>
            <w:tcW w:w="1666" w:type="pct"/>
            <w:gridSpan w:val="3"/>
            <w:tcBorders>
              <w:top w:val="nil"/>
              <w:left w:val="nil"/>
              <w:bottom w:val="single" w:color="auto" w:sz="4" w:space="0"/>
              <w:right w:val="single" w:color="auto" w:sz="8" w:space="0"/>
            </w:tcBorders>
            <w:shd w:val="clear" w:color="auto" w:fill="auto"/>
            <w:vAlign w:val="center"/>
          </w:tcPr>
          <w:p>
            <w:pPr>
              <w:widowControl/>
              <w:jc w:val="left"/>
              <w:rPr>
                <w:rFonts w:cs="宋体"/>
                <w:b/>
                <w:bCs/>
                <w:kern w:val="0"/>
                <w:sz w:val="20"/>
                <w:szCs w:val="20"/>
              </w:rPr>
            </w:pPr>
          </w:p>
        </w:tc>
      </w:tr>
      <w:tr>
        <w:tblPrEx>
          <w:tblCellMar>
            <w:top w:w="0" w:type="dxa"/>
            <w:left w:w="108" w:type="dxa"/>
            <w:bottom w:w="0" w:type="dxa"/>
            <w:right w:w="108" w:type="dxa"/>
          </w:tblCellMar>
        </w:tblPrEx>
        <w:trPr>
          <w:trHeight w:val="702" w:hRule="atLeast"/>
          <w:jc w:val="center"/>
        </w:trPr>
        <w:tc>
          <w:tcPr>
            <w:tcW w:w="848" w:type="pct"/>
            <w:tcBorders>
              <w:top w:val="nil"/>
              <w:left w:val="single" w:color="auto" w:sz="8" w:space="0"/>
              <w:bottom w:val="single" w:color="auto" w:sz="4" w:space="0"/>
              <w:right w:val="single" w:color="auto" w:sz="4" w:space="0"/>
            </w:tcBorders>
            <w:shd w:val="clear" w:color="auto" w:fill="auto"/>
            <w:vAlign w:val="center"/>
          </w:tcPr>
          <w:p>
            <w:pPr>
              <w:widowControl/>
              <w:jc w:val="left"/>
              <w:rPr>
                <w:rFonts w:cs="宋体"/>
                <w:kern w:val="0"/>
                <w:sz w:val="20"/>
                <w:szCs w:val="20"/>
              </w:rPr>
            </w:pPr>
          </w:p>
        </w:tc>
        <w:tc>
          <w:tcPr>
            <w:tcW w:w="1761" w:type="pct"/>
            <w:gridSpan w:val="2"/>
            <w:tcBorders>
              <w:top w:val="nil"/>
              <w:left w:val="nil"/>
              <w:bottom w:val="single" w:color="auto" w:sz="4" w:space="0"/>
              <w:right w:val="nil"/>
            </w:tcBorders>
            <w:shd w:val="clear" w:color="auto" w:fill="auto"/>
            <w:vAlign w:val="center"/>
          </w:tcPr>
          <w:p>
            <w:pPr>
              <w:widowControl/>
              <w:jc w:val="left"/>
              <w:rPr>
                <w:rFonts w:cs="宋体"/>
                <w:b/>
                <w:bCs/>
                <w:kern w:val="0"/>
                <w:sz w:val="20"/>
                <w:szCs w:val="20"/>
              </w:rPr>
            </w:pPr>
          </w:p>
        </w:tc>
        <w:tc>
          <w:tcPr>
            <w:tcW w:w="726" w:type="pct"/>
            <w:tcBorders>
              <w:top w:val="nil"/>
              <w:left w:val="single" w:color="auto" w:sz="4" w:space="0"/>
              <w:bottom w:val="single" w:color="auto" w:sz="4" w:space="0"/>
              <w:right w:val="single" w:color="auto" w:sz="4" w:space="0"/>
            </w:tcBorders>
            <w:shd w:val="clear" w:color="auto" w:fill="auto"/>
            <w:vAlign w:val="center"/>
          </w:tcPr>
          <w:p>
            <w:pPr>
              <w:widowControl/>
              <w:jc w:val="left"/>
              <w:rPr>
                <w:rFonts w:cs="宋体"/>
                <w:b/>
                <w:bCs/>
                <w:kern w:val="0"/>
                <w:sz w:val="20"/>
                <w:szCs w:val="20"/>
              </w:rPr>
            </w:pPr>
          </w:p>
        </w:tc>
        <w:tc>
          <w:tcPr>
            <w:tcW w:w="1666" w:type="pct"/>
            <w:gridSpan w:val="3"/>
            <w:tcBorders>
              <w:top w:val="nil"/>
              <w:left w:val="nil"/>
              <w:bottom w:val="single" w:color="auto" w:sz="4" w:space="0"/>
              <w:right w:val="single" w:color="auto" w:sz="8" w:space="0"/>
            </w:tcBorders>
            <w:shd w:val="clear" w:color="auto" w:fill="auto"/>
            <w:vAlign w:val="center"/>
          </w:tcPr>
          <w:p>
            <w:pPr>
              <w:widowControl/>
              <w:jc w:val="left"/>
              <w:rPr>
                <w:rFonts w:cs="宋体"/>
                <w:b/>
                <w:bCs/>
                <w:kern w:val="0"/>
                <w:sz w:val="20"/>
                <w:szCs w:val="20"/>
              </w:rPr>
            </w:pPr>
          </w:p>
        </w:tc>
      </w:tr>
      <w:tr>
        <w:tblPrEx>
          <w:tblCellMar>
            <w:top w:w="0" w:type="dxa"/>
            <w:left w:w="108" w:type="dxa"/>
            <w:bottom w:w="0" w:type="dxa"/>
            <w:right w:w="108" w:type="dxa"/>
          </w:tblCellMar>
        </w:tblPrEx>
        <w:trPr>
          <w:trHeight w:val="702" w:hRule="atLeast"/>
          <w:jc w:val="center"/>
        </w:trPr>
        <w:tc>
          <w:tcPr>
            <w:tcW w:w="848" w:type="pct"/>
            <w:tcBorders>
              <w:top w:val="nil"/>
              <w:left w:val="single" w:color="auto" w:sz="8" w:space="0"/>
              <w:bottom w:val="single" w:color="auto" w:sz="4" w:space="0"/>
              <w:right w:val="single" w:color="auto" w:sz="4" w:space="0"/>
            </w:tcBorders>
            <w:shd w:val="clear" w:color="auto" w:fill="auto"/>
            <w:vAlign w:val="center"/>
          </w:tcPr>
          <w:p>
            <w:pPr>
              <w:widowControl/>
              <w:jc w:val="left"/>
              <w:rPr>
                <w:rFonts w:cs="宋体"/>
                <w:kern w:val="0"/>
                <w:sz w:val="20"/>
                <w:szCs w:val="20"/>
              </w:rPr>
            </w:pPr>
          </w:p>
        </w:tc>
        <w:tc>
          <w:tcPr>
            <w:tcW w:w="1761" w:type="pct"/>
            <w:gridSpan w:val="2"/>
            <w:tcBorders>
              <w:top w:val="nil"/>
              <w:left w:val="nil"/>
              <w:bottom w:val="single" w:color="auto" w:sz="4" w:space="0"/>
              <w:right w:val="nil"/>
            </w:tcBorders>
            <w:shd w:val="clear" w:color="auto" w:fill="auto"/>
            <w:vAlign w:val="center"/>
          </w:tcPr>
          <w:p>
            <w:pPr>
              <w:widowControl/>
              <w:jc w:val="left"/>
              <w:rPr>
                <w:rFonts w:cs="宋体"/>
                <w:b/>
                <w:bCs/>
                <w:kern w:val="0"/>
                <w:sz w:val="20"/>
                <w:szCs w:val="20"/>
              </w:rPr>
            </w:pPr>
          </w:p>
        </w:tc>
        <w:tc>
          <w:tcPr>
            <w:tcW w:w="726" w:type="pct"/>
            <w:tcBorders>
              <w:top w:val="nil"/>
              <w:left w:val="single" w:color="auto" w:sz="4" w:space="0"/>
              <w:bottom w:val="single" w:color="auto" w:sz="4" w:space="0"/>
              <w:right w:val="single" w:color="auto" w:sz="4" w:space="0"/>
            </w:tcBorders>
            <w:shd w:val="clear" w:color="auto" w:fill="auto"/>
            <w:vAlign w:val="center"/>
          </w:tcPr>
          <w:p>
            <w:pPr>
              <w:widowControl/>
              <w:jc w:val="left"/>
              <w:rPr>
                <w:rFonts w:cs="宋体"/>
                <w:b/>
                <w:bCs/>
                <w:kern w:val="0"/>
                <w:sz w:val="20"/>
                <w:szCs w:val="20"/>
              </w:rPr>
            </w:pPr>
          </w:p>
        </w:tc>
        <w:tc>
          <w:tcPr>
            <w:tcW w:w="1666" w:type="pct"/>
            <w:gridSpan w:val="3"/>
            <w:tcBorders>
              <w:top w:val="nil"/>
              <w:left w:val="nil"/>
              <w:bottom w:val="single" w:color="auto" w:sz="4" w:space="0"/>
              <w:right w:val="single" w:color="auto" w:sz="8" w:space="0"/>
            </w:tcBorders>
            <w:shd w:val="clear" w:color="auto" w:fill="auto"/>
            <w:vAlign w:val="center"/>
          </w:tcPr>
          <w:p>
            <w:pPr>
              <w:widowControl/>
              <w:jc w:val="left"/>
              <w:rPr>
                <w:rFonts w:cs="宋体"/>
                <w:b/>
                <w:bCs/>
                <w:kern w:val="0"/>
                <w:sz w:val="20"/>
                <w:szCs w:val="20"/>
              </w:rPr>
            </w:pPr>
          </w:p>
        </w:tc>
      </w:tr>
      <w:tr>
        <w:tblPrEx>
          <w:tblCellMar>
            <w:top w:w="0" w:type="dxa"/>
            <w:left w:w="108" w:type="dxa"/>
            <w:bottom w:w="0" w:type="dxa"/>
            <w:right w:w="108" w:type="dxa"/>
          </w:tblCellMar>
        </w:tblPrEx>
        <w:trPr>
          <w:trHeight w:val="702" w:hRule="atLeast"/>
          <w:jc w:val="center"/>
        </w:trPr>
        <w:tc>
          <w:tcPr>
            <w:tcW w:w="848" w:type="pct"/>
            <w:tcBorders>
              <w:top w:val="nil"/>
              <w:left w:val="single" w:color="auto" w:sz="8" w:space="0"/>
              <w:bottom w:val="single" w:color="auto" w:sz="4" w:space="0"/>
              <w:right w:val="single" w:color="auto" w:sz="4" w:space="0"/>
            </w:tcBorders>
            <w:shd w:val="clear" w:color="auto" w:fill="auto"/>
            <w:vAlign w:val="center"/>
          </w:tcPr>
          <w:p>
            <w:pPr>
              <w:widowControl/>
              <w:jc w:val="left"/>
              <w:rPr>
                <w:rFonts w:cs="宋体"/>
                <w:kern w:val="0"/>
                <w:sz w:val="20"/>
                <w:szCs w:val="20"/>
              </w:rPr>
            </w:pPr>
          </w:p>
        </w:tc>
        <w:tc>
          <w:tcPr>
            <w:tcW w:w="1761" w:type="pct"/>
            <w:gridSpan w:val="2"/>
            <w:tcBorders>
              <w:top w:val="nil"/>
              <w:left w:val="nil"/>
              <w:bottom w:val="single" w:color="auto" w:sz="4" w:space="0"/>
              <w:right w:val="nil"/>
            </w:tcBorders>
            <w:shd w:val="clear" w:color="auto" w:fill="auto"/>
            <w:vAlign w:val="center"/>
          </w:tcPr>
          <w:p>
            <w:pPr>
              <w:widowControl/>
              <w:jc w:val="left"/>
              <w:rPr>
                <w:rFonts w:cs="宋体"/>
                <w:b/>
                <w:bCs/>
                <w:kern w:val="0"/>
                <w:sz w:val="20"/>
                <w:szCs w:val="20"/>
              </w:rPr>
            </w:pPr>
          </w:p>
        </w:tc>
        <w:tc>
          <w:tcPr>
            <w:tcW w:w="726" w:type="pct"/>
            <w:tcBorders>
              <w:top w:val="nil"/>
              <w:left w:val="single" w:color="auto" w:sz="4" w:space="0"/>
              <w:bottom w:val="single" w:color="auto" w:sz="4" w:space="0"/>
              <w:right w:val="single" w:color="auto" w:sz="4" w:space="0"/>
            </w:tcBorders>
            <w:shd w:val="clear" w:color="auto" w:fill="auto"/>
            <w:vAlign w:val="center"/>
          </w:tcPr>
          <w:p>
            <w:pPr>
              <w:widowControl/>
              <w:jc w:val="left"/>
              <w:rPr>
                <w:rFonts w:cs="宋体"/>
                <w:b/>
                <w:bCs/>
                <w:kern w:val="0"/>
                <w:sz w:val="20"/>
                <w:szCs w:val="20"/>
              </w:rPr>
            </w:pPr>
          </w:p>
        </w:tc>
        <w:tc>
          <w:tcPr>
            <w:tcW w:w="1666" w:type="pct"/>
            <w:gridSpan w:val="3"/>
            <w:tcBorders>
              <w:top w:val="nil"/>
              <w:left w:val="nil"/>
              <w:bottom w:val="single" w:color="auto" w:sz="4" w:space="0"/>
              <w:right w:val="single" w:color="auto" w:sz="8" w:space="0"/>
            </w:tcBorders>
            <w:shd w:val="clear" w:color="auto" w:fill="auto"/>
            <w:vAlign w:val="center"/>
          </w:tcPr>
          <w:p>
            <w:pPr>
              <w:widowControl/>
              <w:jc w:val="left"/>
              <w:rPr>
                <w:rFonts w:cs="宋体"/>
                <w:b/>
                <w:bCs/>
                <w:kern w:val="0"/>
                <w:sz w:val="20"/>
                <w:szCs w:val="20"/>
              </w:rPr>
            </w:pPr>
          </w:p>
        </w:tc>
      </w:tr>
      <w:tr>
        <w:tblPrEx>
          <w:tblCellMar>
            <w:top w:w="0" w:type="dxa"/>
            <w:left w:w="108" w:type="dxa"/>
            <w:bottom w:w="0" w:type="dxa"/>
            <w:right w:w="108" w:type="dxa"/>
          </w:tblCellMar>
        </w:tblPrEx>
        <w:trPr>
          <w:trHeight w:val="1052" w:hRule="atLeast"/>
          <w:jc w:val="center"/>
        </w:trPr>
        <w:tc>
          <w:tcPr>
            <w:tcW w:w="848" w:type="pct"/>
            <w:tcBorders>
              <w:top w:val="nil"/>
              <w:left w:val="single" w:color="auto" w:sz="8" w:space="0"/>
              <w:bottom w:val="single" w:color="auto" w:sz="8" w:space="0"/>
              <w:right w:val="single" w:color="auto" w:sz="4" w:space="0"/>
            </w:tcBorders>
            <w:shd w:val="clear" w:color="auto" w:fill="auto"/>
            <w:vAlign w:val="center"/>
          </w:tcPr>
          <w:p>
            <w:pPr>
              <w:widowControl/>
              <w:jc w:val="center"/>
              <w:rPr>
                <w:rFonts w:cs="宋体"/>
                <w:kern w:val="0"/>
                <w:sz w:val="20"/>
                <w:szCs w:val="20"/>
              </w:rPr>
            </w:pPr>
            <w:r>
              <w:rPr>
                <w:rFonts w:hint="eastAsia" w:cs="宋体"/>
                <w:kern w:val="0"/>
                <w:sz w:val="20"/>
                <w:szCs w:val="20"/>
              </w:rPr>
              <w:t>福建区域已签约主要项目业绩</w:t>
            </w:r>
            <w:r>
              <w:rPr>
                <w:rFonts w:cs="宋体"/>
                <w:kern w:val="0"/>
                <w:sz w:val="20"/>
                <w:szCs w:val="20"/>
              </w:rPr>
              <w:t xml:space="preserve"> </w:t>
            </w:r>
          </w:p>
        </w:tc>
        <w:tc>
          <w:tcPr>
            <w:tcW w:w="4152" w:type="pct"/>
            <w:gridSpan w:val="6"/>
            <w:tcBorders>
              <w:top w:val="single" w:color="auto" w:sz="8" w:space="0"/>
              <w:left w:val="nil"/>
              <w:bottom w:val="single" w:color="auto" w:sz="8" w:space="0"/>
              <w:right w:val="single" w:color="000000" w:sz="8" w:space="0"/>
            </w:tcBorders>
            <w:shd w:val="clear" w:color="auto" w:fill="auto"/>
            <w:vAlign w:val="center"/>
          </w:tcPr>
          <w:p>
            <w:pPr>
              <w:widowControl/>
              <w:jc w:val="center"/>
              <w:rPr>
                <w:rFonts w:cs="宋体"/>
                <w:kern w:val="0"/>
                <w:sz w:val="20"/>
                <w:szCs w:val="20"/>
              </w:rPr>
            </w:pPr>
            <w:r>
              <w:rPr>
                <w:rFonts w:hint="eastAsia" w:cs="宋体"/>
                <w:kern w:val="0"/>
                <w:sz w:val="20"/>
                <w:szCs w:val="20"/>
              </w:rPr>
              <w:t>（需提供合同扫描件）</w:t>
            </w:r>
          </w:p>
        </w:tc>
      </w:tr>
      <w:tr>
        <w:tblPrEx>
          <w:tblCellMar>
            <w:top w:w="0" w:type="dxa"/>
            <w:left w:w="108" w:type="dxa"/>
            <w:bottom w:w="0" w:type="dxa"/>
            <w:right w:w="108" w:type="dxa"/>
          </w:tblCellMar>
        </w:tblPrEx>
        <w:trPr>
          <w:trHeight w:val="1109" w:hRule="atLeast"/>
          <w:jc w:val="center"/>
        </w:trPr>
        <w:tc>
          <w:tcPr>
            <w:tcW w:w="848" w:type="pct"/>
            <w:tcBorders>
              <w:top w:val="nil"/>
              <w:left w:val="single" w:color="auto" w:sz="8" w:space="0"/>
              <w:bottom w:val="single" w:color="auto" w:sz="8" w:space="0"/>
              <w:right w:val="single" w:color="auto" w:sz="4" w:space="0"/>
            </w:tcBorders>
            <w:shd w:val="clear" w:color="auto" w:fill="auto"/>
            <w:vAlign w:val="center"/>
          </w:tcPr>
          <w:p>
            <w:pPr>
              <w:widowControl/>
              <w:jc w:val="center"/>
              <w:rPr>
                <w:rFonts w:cs="宋体"/>
                <w:kern w:val="0"/>
                <w:sz w:val="20"/>
                <w:szCs w:val="20"/>
              </w:rPr>
            </w:pPr>
            <w:r>
              <w:rPr>
                <w:rFonts w:hint="eastAsia" w:cs="宋体"/>
                <w:kern w:val="0"/>
                <w:sz w:val="20"/>
                <w:szCs w:val="20"/>
              </w:rPr>
              <w:t>其他区域已签约主要项目业绩</w:t>
            </w:r>
          </w:p>
        </w:tc>
        <w:tc>
          <w:tcPr>
            <w:tcW w:w="4152" w:type="pct"/>
            <w:gridSpan w:val="6"/>
            <w:tcBorders>
              <w:top w:val="single" w:color="auto" w:sz="8" w:space="0"/>
              <w:left w:val="nil"/>
              <w:bottom w:val="single" w:color="auto" w:sz="8" w:space="0"/>
              <w:right w:val="single" w:color="000000" w:sz="8" w:space="0"/>
            </w:tcBorders>
            <w:shd w:val="clear" w:color="auto" w:fill="auto"/>
            <w:vAlign w:val="center"/>
          </w:tcPr>
          <w:p>
            <w:pPr>
              <w:widowControl/>
              <w:jc w:val="center"/>
              <w:rPr>
                <w:rFonts w:cs="宋体"/>
                <w:kern w:val="0"/>
                <w:sz w:val="20"/>
                <w:szCs w:val="20"/>
              </w:rPr>
            </w:pPr>
            <w:r>
              <w:rPr>
                <w:rFonts w:hint="eastAsia" w:cs="宋体"/>
                <w:kern w:val="0"/>
                <w:sz w:val="20"/>
                <w:szCs w:val="20"/>
              </w:rPr>
              <w:t>（需提供合同扫描件）</w:t>
            </w:r>
          </w:p>
        </w:tc>
      </w:tr>
      <w:tr>
        <w:tblPrEx>
          <w:tblCellMar>
            <w:top w:w="0" w:type="dxa"/>
            <w:left w:w="108" w:type="dxa"/>
            <w:bottom w:w="0" w:type="dxa"/>
            <w:right w:w="108" w:type="dxa"/>
          </w:tblCellMar>
        </w:tblPrEx>
        <w:trPr>
          <w:trHeight w:val="842" w:hRule="atLeast"/>
          <w:jc w:val="center"/>
        </w:trPr>
        <w:tc>
          <w:tcPr>
            <w:tcW w:w="848" w:type="pct"/>
            <w:tcBorders>
              <w:top w:val="nil"/>
              <w:left w:val="single" w:color="auto" w:sz="8" w:space="0"/>
              <w:bottom w:val="single" w:color="auto" w:sz="8" w:space="0"/>
              <w:right w:val="single" w:color="auto" w:sz="4" w:space="0"/>
            </w:tcBorders>
            <w:shd w:val="clear" w:color="auto" w:fill="auto"/>
            <w:vAlign w:val="center"/>
          </w:tcPr>
          <w:p>
            <w:pPr>
              <w:widowControl/>
              <w:jc w:val="center"/>
              <w:rPr>
                <w:rFonts w:cs="宋体"/>
                <w:kern w:val="0"/>
                <w:sz w:val="20"/>
                <w:szCs w:val="20"/>
              </w:rPr>
            </w:pPr>
            <w:r>
              <w:rPr>
                <w:rFonts w:hint="eastAsia" w:cs="宋体"/>
                <w:kern w:val="0"/>
                <w:sz w:val="20"/>
                <w:szCs w:val="20"/>
              </w:rPr>
              <w:t>同档次其他品牌</w:t>
            </w:r>
          </w:p>
        </w:tc>
        <w:tc>
          <w:tcPr>
            <w:tcW w:w="4152" w:type="pct"/>
            <w:gridSpan w:val="6"/>
            <w:tcBorders>
              <w:top w:val="single" w:color="auto" w:sz="8" w:space="0"/>
              <w:left w:val="nil"/>
              <w:bottom w:val="single" w:color="auto" w:sz="8" w:space="0"/>
              <w:right w:val="single" w:color="000000" w:sz="8" w:space="0"/>
            </w:tcBorders>
            <w:shd w:val="clear" w:color="auto" w:fill="auto"/>
            <w:vAlign w:val="center"/>
          </w:tcPr>
          <w:p>
            <w:pPr>
              <w:widowControl/>
              <w:jc w:val="center"/>
              <w:rPr>
                <w:rFonts w:cs="宋体"/>
                <w:kern w:val="0"/>
                <w:sz w:val="20"/>
                <w:szCs w:val="20"/>
              </w:rPr>
            </w:pPr>
          </w:p>
        </w:tc>
      </w:tr>
    </w:tbl>
    <w:p>
      <w:pPr>
        <w:widowControl/>
        <w:spacing w:line="360" w:lineRule="auto"/>
        <w:jc w:val="center"/>
        <w:rPr>
          <w:b/>
          <w:sz w:val="32"/>
          <w:szCs w:val="32"/>
        </w:rPr>
      </w:pPr>
    </w:p>
    <w:p>
      <w:pPr>
        <w:widowControl/>
        <w:spacing w:line="360" w:lineRule="auto"/>
        <w:rPr>
          <w:b/>
          <w:sz w:val="32"/>
          <w:szCs w:val="32"/>
        </w:rPr>
      </w:pPr>
      <w:r>
        <w:rPr>
          <w:rFonts w:hint="eastAsia"/>
          <w:b/>
          <w:sz w:val="32"/>
          <w:szCs w:val="32"/>
        </w:rPr>
        <w:t>附件</w:t>
      </w:r>
      <w:r>
        <w:rPr>
          <w:b/>
          <w:sz w:val="32"/>
          <w:szCs w:val="32"/>
        </w:rPr>
        <w:t>2</w:t>
      </w:r>
      <w:r>
        <w:rPr>
          <w:rFonts w:hint="eastAsia"/>
          <w:b/>
          <w:sz w:val="32"/>
          <w:szCs w:val="32"/>
        </w:rPr>
        <w:t>：</w:t>
      </w:r>
      <w:r>
        <w:rPr>
          <w:b/>
          <w:sz w:val="32"/>
          <w:szCs w:val="32"/>
        </w:rPr>
        <w:t xml:space="preserve">      </w:t>
      </w:r>
    </w:p>
    <w:p>
      <w:pPr>
        <w:widowControl/>
        <w:spacing w:line="360" w:lineRule="auto"/>
        <w:jc w:val="center"/>
        <w:rPr>
          <w:b/>
          <w:sz w:val="32"/>
          <w:szCs w:val="32"/>
        </w:rPr>
      </w:pPr>
      <w:r>
        <w:rPr>
          <w:rFonts w:hint="eastAsia"/>
          <w:b/>
          <w:sz w:val="32"/>
          <w:szCs w:val="32"/>
        </w:rPr>
        <w:t>厂家承诺函</w:t>
      </w:r>
    </w:p>
    <w:p>
      <w:pPr>
        <w:spacing w:line="480" w:lineRule="auto"/>
      </w:pPr>
      <w:r>
        <w:rPr>
          <w:rFonts w:hint="eastAsia"/>
        </w:rPr>
        <w:t>厦门翔业集团有限公司：</w:t>
      </w:r>
    </w:p>
    <w:p>
      <w:pPr>
        <w:spacing w:line="480" w:lineRule="auto"/>
        <w:ind w:firstLine="465"/>
      </w:pPr>
      <w:r>
        <w:rPr>
          <w:rFonts w:hint="eastAsia"/>
        </w:rPr>
        <w:t>我司承诺针对贵司及其下属公司开发建设的项目，我司将会积极配合贵司对材料设备品牌及供应商的管理；若经核实违反如下承诺事项，我司无条件接受贵司对品牌及供应商的处罚（如从品牌库移除、列入供应商黑名单等）：</w:t>
      </w:r>
    </w:p>
    <w:p>
      <w:pPr>
        <w:spacing w:line="480" w:lineRule="auto"/>
        <w:ind w:firstLine="465"/>
      </w:pPr>
      <w:r>
        <w:t>1</w:t>
      </w:r>
      <w:r>
        <w:rPr>
          <w:rFonts w:hint="eastAsia"/>
        </w:rPr>
        <w:t>、我司承诺所有产品报价为考虑长期合作的价格（详见附件报价单），后期项目不会出现偏离市场行情进行虚高报价情形。</w:t>
      </w:r>
    </w:p>
    <w:p>
      <w:pPr>
        <w:spacing w:line="480" w:lineRule="auto"/>
        <w:ind w:firstLine="465"/>
      </w:pPr>
      <w:r>
        <w:t>2</w:t>
      </w:r>
      <w:r>
        <w:rPr>
          <w:rFonts w:hint="eastAsia"/>
        </w:rPr>
        <w:t>、我司承诺后期供货期间不会出现伪劣假冒、以次充好、拒不配合、供货不及时等情形。</w:t>
      </w:r>
    </w:p>
    <w:p>
      <w:pPr>
        <w:spacing w:line="480" w:lineRule="auto"/>
        <w:ind w:firstLine="465"/>
      </w:pPr>
      <w:r>
        <w:t>3</w:t>
      </w:r>
      <w:r>
        <w:rPr>
          <w:rFonts w:hint="eastAsia"/>
        </w:rPr>
        <w:t>、我司承诺积极配合贵司产品送样、技术服务支持、售后服务等对接工作。</w:t>
      </w:r>
    </w:p>
    <w:p>
      <w:pPr>
        <w:spacing w:line="480" w:lineRule="auto"/>
        <w:ind w:firstLine="465"/>
      </w:pPr>
      <w:r>
        <w:t>4</w:t>
      </w:r>
      <w:r>
        <w:rPr>
          <w:rFonts w:hint="eastAsia"/>
        </w:rPr>
        <w:t>、我司承诺积极配合贵司品牌库更新工作，若存在人员变动或产品更新会及时告知贵司。若登记的联系方式（包括但不限于对接联系人、电话、邮箱）有变更的，会及时书面反馈至入库申请文件对接联系人，否则后期引起的信息对接造成不利于后果我司自愿承担。</w:t>
      </w:r>
    </w:p>
    <w:p>
      <w:pPr>
        <w:spacing w:line="480" w:lineRule="auto"/>
        <w:ind w:firstLine="465"/>
      </w:pPr>
      <w:r>
        <w:t>5</w:t>
      </w:r>
      <w:r>
        <w:rPr>
          <w:rFonts w:hint="eastAsia"/>
        </w:rPr>
        <w:t>、我司承诺保证贵司项目使用的我司产品质量可靠，协助现场验货和打假。</w:t>
      </w:r>
    </w:p>
    <w:p>
      <w:pPr>
        <w:spacing w:line="480" w:lineRule="auto"/>
        <w:ind w:firstLine="465"/>
      </w:pPr>
      <w:r>
        <w:t>6</w:t>
      </w:r>
      <w:r>
        <w:rPr>
          <w:rFonts w:hint="eastAsia"/>
        </w:rPr>
        <w:t>、我司承诺积极配合调查投诉，提供贵司需求必要的查证资料。</w:t>
      </w:r>
    </w:p>
    <w:p>
      <w:pPr>
        <w:spacing w:line="480" w:lineRule="auto"/>
        <w:ind w:firstLine="465"/>
      </w:pPr>
      <w:r>
        <w:t>7</w:t>
      </w:r>
      <w:r>
        <w:rPr>
          <w:rFonts w:hint="eastAsia"/>
        </w:rPr>
        <w:t>、我司承诺提供的入库申请资料真实有效，若后期查证存在资料弄虚作假，影响品牌评审并造成后期贵司损失等情况，我司同意被列入贵司黑名单，并且三年内不得申请入库。</w:t>
      </w:r>
    </w:p>
    <w:p>
      <w:pPr>
        <w:spacing w:line="360" w:lineRule="auto"/>
      </w:pPr>
    </w:p>
    <w:p>
      <w:pPr>
        <w:spacing w:line="360" w:lineRule="auto"/>
      </w:pPr>
    </w:p>
    <w:p>
      <w:pPr>
        <w:spacing w:line="360" w:lineRule="auto"/>
      </w:pPr>
    </w:p>
    <w:p>
      <w:pPr>
        <w:spacing w:line="360" w:lineRule="auto"/>
      </w:pPr>
      <w:r>
        <w:t xml:space="preserve">                                     </w:t>
      </w:r>
      <w:r>
        <w:rPr>
          <w:rFonts w:hint="eastAsia"/>
        </w:rPr>
        <w:t>厂商签字（盖章）：</w:t>
      </w:r>
    </w:p>
    <w:p>
      <w:pPr>
        <w:spacing w:line="360" w:lineRule="auto"/>
      </w:pPr>
      <w:r>
        <w:t xml:space="preserve">                                       </w:t>
      </w:r>
      <w:r>
        <w:rPr>
          <w:rFonts w:hint="eastAsia"/>
        </w:rPr>
        <w:t>日期：</w:t>
      </w:r>
    </w:p>
    <w:p>
      <w:pPr>
        <w:widowControl/>
        <w:jc w:val="center"/>
        <w:rPr>
          <w:b/>
          <w:sz w:val="32"/>
          <w:szCs w:val="32"/>
        </w:rPr>
      </w:pPr>
      <w:r>
        <w:rPr>
          <w:rFonts w:asciiTheme="minorEastAsia" w:hAnsiTheme="minorEastAsia"/>
          <w:b/>
          <w:sz w:val="28"/>
          <w:szCs w:val="28"/>
        </w:rPr>
        <w:t>厂家授权证明</w:t>
      </w:r>
      <w:r>
        <w:rPr>
          <w:rFonts w:hint="eastAsia" w:asciiTheme="minorEastAsia" w:hAnsiTheme="minorEastAsia"/>
          <w:b/>
          <w:sz w:val="28"/>
          <w:szCs w:val="28"/>
        </w:rPr>
        <w:t>（若为代理商须提供）</w:t>
      </w: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jc w:val="left"/>
        <w:rPr>
          <w:b/>
          <w:sz w:val="32"/>
          <w:szCs w:val="32"/>
        </w:rPr>
      </w:pPr>
    </w:p>
    <w:p>
      <w:pPr>
        <w:widowControl/>
        <w:jc w:val="left"/>
        <w:rPr>
          <w:b/>
          <w:sz w:val="32"/>
          <w:szCs w:val="32"/>
        </w:rPr>
      </w:pPr>
    </w:p>
    <w:p>
      <w:pPr>
        <w:widowControl/>
        <w:jc w:val="left"/>
        <w:rPr>
          <w:b/>
          <w:sz w:val="32"/>
          <w:szCs w:val="32"/>
        </w:rPr>
      </w:pPr>
    </w:p>
    <w:p>
      <w:pPr>
        <w:widowControl/>
        <w:spacing w:line="360" w:lineRule="auto"/>
        <w:jc w:val="center"/>
        <w:rPr>
          <w:b/>
          <w:sz w:val="32"/>
          <w:szCs w:val="32"/>
        </w:rPr>
      </w:pPr>
      <w:r>
        <w:rPr>
          <w:rFonts w:hint="eastAsia"/>
          <w:b/>
          <w:sz w:val="32"/>
          <w:szCs w:val="32"/>
        </w:rPr>
        <w:t>厂家营业执照</w:t>
      </w:r>
    </w:p>
    <w:p>
      <w:pPr>
        <w:jc w:val="center"/>
        <w:rPr>
          <w:b/>
          <w:sz w:val="32"/>
          <w:szCs w:val="32"/>
        </w:rPr>
      </w:pPr>
      <w:r>
        <w:rPr>
          <w:rFonts w:hint="eastAsia"/>
          <w:b/>
          <w:sz w:val="32"/>
          <w:szCs w:val="32"/>
        </w:rPr>
        <w:t>（营业执照若无体现注册资本金，须提供体现注册资本金金额的相关证明资料）</w:t>
      </w:r>
    </w:p>
    <w:p>
      <w:pPr>
        <w:widowControl/>
        <w:spacing w:line="360" w:lineRule="auto"/>
        <w:jc w:val="center"/>
        <w:rPr>
          <w:b/>
          <w:sz w:val="32"/>
          <w:szCs w:val="32"/>
        </w:rPr>
      </w:pPr>
      <w:r>
        <w:rPr>
          <w:rFonts w:hint="eastAsia"/>
          <w:b/>
          <w:sz w:val="32"/>
          <w:szCs w:val="32"/>
        </w:rPr>
        <w:t>（若为代理商，代理商营业执照也须一并提供）</w:t>
      </w:r>
    </w:p>
    <w:p>
      <w:pPr>
        <w:widowControl/>
        <w:jc w:val="left"/>
        <w:rPr>
          <w:b/>
          <w:sz w:val="32"/>
          <w:szCs w:val="32"/>
        </w:rPr>
      </w:pPr>
    </w:p>
    <w:p>
      <w:pPr>
        <w:widowControl/>
        <w:jc w:val="left"/>
        <w:rPr>
          <w:rFonts w:ascii="宋体" w:hAnsi="宋体"/>
          <w:kern w:val="0"/>
          <w:sz w:val="28"/>
          <w:szCs w:val="28"/>
        </w:rPr>
      </w:pPr>
      <w:r>
        <w:rPr>
          <w:rFonts w:hint="eastAsia" w:ascii="宋体" w:hAnsi="宋体"/>
          <w:b/>
          <w:bCs/>
          <w:kern w:val="0"/>
          <w:sz w:val="28"/>
          <w:szCs w:val="28"/>
        </w:rPr>
        <w:t>评分依据：</w:t>
      </w:r>
      <w:r>
        <w:rPr>
          <w:rFonts w:hint="eastAsia" w:ascii="宋体" w:hAnsi="宋体"/>
          <w:kern w:val="0"/>
          <w:sz w:val="28"/>
          <w:szCs w:val="28"/>
        </w:rPr>
        <w:t>提供营业执照复印件或其他相关证明资料；</w:t>
      </w:r>
    </w:p>
    <w:p>
      <w:pPr>
        <w:rPr>
          <w:rFonts w:ascii="宋体" w:hAnsi="宋体"/>
          <w:kern w:val="0"/>
          <w:sz w:val="28"/>
          <w:szCs w:val="28"/>
        </w:rPr>
      </w:pPr>
      <w:r>
        <w:rPr>
          <w:rFonts w:hint="eastAsia" w:ascii="宋体" w:hAnsi="宋体"/>
          <w:b/>
          <w:bCs/>
          <w:kern w:val="0"/>
          <w:sz w:val="28"/>
          <w:szCs w:val="28"/>
        </w:rPr>
        <w:t>评分标准：</w:t>
      </w:r>
      <w:r>
        <w:rPr>
          <w:rFonts w:hint="eastAsia" w:ascii="宋体" w:hAnsi="宋体"/>
          <w:kern w:val="0"/>
          <w:sz w:val="28"/>
          <w:szCs w:val="28"/>
        </w:rPr>
        <w:t>注册资本金为50万元-100万元(含50万元)得4分；注册资本金为100万元-1000万元(含100万元)得6分;1000万元-5000万元(含1000万元)得8分;5000万元及以上的得10分;其余不得分。</w:t>
      </w:r>
    </w:p>
    <w:p>
      <w:pPr>
        <w:widowControl/>
        <w:jc w:val="left"/>
        <w:rPr>
          <w:rFonts w:ascii="宋体" w:hAnsi="宋体"/>
          <w:kern w:val="0"/>
          <w:sz w:val="28"/>
          <w:szCs w:val="28"/>
        </w:rPr>
      </w:pPr>
    </w:p>
    <w:p>
      <w:pPr>
        <w:widowControl/>
        <w:jc w:val="left"/>
        <w:rPr>
          <w:b/>
          <w:sz w:val="32"/>
          <w:szCs w:val="32"/>
        </w:rPr>
      </w:pPr>
    </w:p>
    <w:p>
      <w:pPr>
        <w:widowControl/>
        <w:jc w:val="left"/>
        <w:rPr>
          <w:b/>
          <w:sz w:val="32"/>
          <w:szCs w:val="32"/>
        </w:rPr>
      </w:pPr>
    </w:p>
    <w:p>
      <w:pPr>
        <w:widowControl/>
        <w:jc w:val="left"/>
        <w:rPr>
          <w:b/>
          <w:sz w:val="32"/>
          <w:szCs w:val="32"/>
        </w:rPr>
      </w:pPr>
    </w:p>
    <w:p>
      <w:pPr>
        <w:widowControl/>
        <w:jc w:val="left"/>
        <w:rPr>
          <w:b/>
          <w:sz w:val="32"/>
          <w:szCs w:val="32"/>
        </w:rPr>
      </w:pPr>
    </w:p>
    <w:p>
      <w:pPr>
        <w:widowControl/>
        <w:jc w:val="left"/>
        <w:rPr>
          <w:b/>
          <w:sz w:val="32"/>
          <w:szCs w:val="32"/>
        </w:rPr>
      </w:pPr>
    </w:p>
    <w:p>
      <w:pPr>
        <w:widowControl/>
        <w:jc w:val="left"/>
        <w:rPr>
          <w:b/>
          <w:sz w:val="32"/>
          <w:szCs w:val="32"/>
        </w:rPr>
      </w:pPr>
    </w:p>
    <w:p>
      <w:pPr>
        <w:widowControl/>
        <w:jc w:val="left"/>
        <w:rPr>
          <w:b/>
          <w:sz w:val="32"/>
          <w:szCs w:val="32"/>
        </w:rPr>
      </w:pPr>
    </w:p>
    <w:p>
      <w:pPr>
        <w:widowControl/>
        <w:jc w:val="left"/>
        <w:rPr>
          <w:b/>
          <w:sz w:val="32"/>
          <w:szCs w:val="32"/>
        </w:rPr>
      </w:pPr>
    </w:p>
    <w:p>
      <w:pPr>
        <w:widowControl/>
        <w:jc w:val="left"/>
        <w:rPr>
          <w:b/>
          <w:sz w:val="32"/>
          <w:szCs w:val="32"/>
        </w:rPr>
      </w:pPr>
    </w:p>
    <w:p>
      <w:pPr>
        <w:widowControl/>
        <w:jc w:val="left"/>
        <w:rPr>
          <w:b/>
          <w:sz w:val="32"/>
          <w:szCs w:val="32"/>
        </w:rPr>
      </w:pPr>
    </w:p>
    <w:p>
      <w:pPr>
        <w:widowControl/>
        <w:jc w:val="left"/>
        <w:rPr>
          <w:b/>
          <w:sz w:val="32"/>
          <w:szCs w:val="32"/>
        </w:rPr>
      </w:pPr>
    </w:p>
    <w:p>
      <w:pPr>
        <w:widowControl/>
        <w:jc w:val="left"/>
        <w:rPr>
          <w:b/>
          <w:sz w:val="32"/>
          <w:szCs w:val="32"/>
        </w:rPr>
      </w:pPr>
    </w:p>
    <w:p>
      <w:pPr>
        <w:jc w:val="center"/>
        <w:rPr>
          <w:rFonts w:asciiTheme="minorEastAsia" w:hAnsiTheme="minorEastAsia"/>
          <w:b/>
          <w:sz w:val="28"/>
          <w:szCs w:val="28"/>
        </w:rPr>
      </w:pPr>
      <w:r>
        <w:rPr>
          <w:rFonts w:hint="eastAsia" w:asciiTheme="minorEastAsia" w:hAnsiTheme="minorEastAsia"/>
          <w:b/>
          <w:sz w:val="28"/>
          <w:szCs w:val="28"/>
        </w:rPr>
        <w:t>生产规模、生产能力</w:t>
      </w:r>
    </w:p>
    <w:p>
      <w:pPr>
        <w:rPr>
          <w:rFonts w:ascii="宋体" w:hAnsi="宋体"/>
          <w:kern w:val="0"/>
          <w:sz w:val="28"/>
          <w:szCs w:val="28"/>
        </w:rPr>
      </w:pPr>
      <w:r>
        <w:rPr>
          <w:rFonts w:hint="eastAsia" w:ascii="宋体" w:hAnsi="宋体"/>
          <w:b/>
          <w:bCs/>
          <w:kern w:val="0"/>
          <w:sz w:val="28"/>
          <w:szCs w:val="28"/>
        </w:rPr>
        <w:t>评分依据：</w:t>
      </w:r>
      <w:r>
        <w:rPr>
          <w:rFonts w:hint="eastAsia" w:ascii="宋体" w:hAnsi="宋体"/>
          <w:kern w:val="0"/>
          <w:sz w:val="28"/>
          <w:szCs w:val="28"/>
        </w:rPr>
        <w:t>提供工厂规模到生产流程整体的图片或实地拍摄视频及相关企业介绍进行评分：体现规模和生产能力强得优；比较清楚体现规模和生产能力较好得良；体现规模和生产能力较一般为一般；未能体现规模和生产能力为差。</w:t>
      </w:r>
    </w:p>
    <w:p>
      <w:pPr>
        <w:rPr>
          <w:rFonts w:ascii="宋体" w:hAnsi="宋体"/>
          <w:kern w:val="0"/>
          <w:sz w:val="28"/>
          <w:szCs w:val="28"/>
        </w:rPr>
      </w:pPr>
      <w:r>
        <w:rPr>
          <w:rFonts w:hint="eastAsia" w:ascii="宋体" w:hAnsi="宋体"/>
          <w:b/>
          <w:bCs/>
          <w:kern w:val="0"/>
          <w:sz w:val="28"/>
          <w:szCs w:val="28"/>
        </w:rPr>
        <w:t>评分标准：</w:t>
      </w:r>
      <w:r>
        <w:rPr>
          <w:rFonts w:hint="eastAsia" w:ascii="宋体" w:hAnsi="宋体"/>
          <w:kern w:val="0"/>
          <w:sz w:val="28"/>
          <w:szCs w:val="28"/>
        </w:rPr>
        <w:t>根据工厂规模和生产能力进行评分：优得6分，良得4分，一般得2分，差不得分。</w:t>
      </w:r>
    </w:p>
    <w:p>
      <w:pPr>
        <w:rPr>
          <w:rFonts w:ascii="宋体" w:hAnsi="宋体"/>
          <w:kern w:val="0"/>
          <w:sz w:val="28"/>
          <w:szCs w:val="28"/>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jc w:val="center"/>
        <w:rPr>
          <w:rFonts w:asciiTheme="minorEastAsia" w:hAnsiTheme="minorEastAsia"/>
          <w:b/>
          <w:sz w:val="28"/>
          <w:szCs w:val="28"/>
        </w:rPr>
      </w:pPr>
      <w:r>
        <w:rPr>
          <w:rFonts w:hint="eastAsia" w:asciiTheme="minorEastAsia" w:hAnsiTheme="minorEastAsia"/>
          <w:b/>
          <w:sz w:val="28"/>
          <w:szCs w:val="28"/>
        </w:rPr>
        <w:t>参与技术编制情况</w:t>
      </w:r>
    </w:p>
    <w:p>
      <w:pPr>
        <w:rPr>
          <w:rFonts w:ascii="宋体" w:hAnsi="宋体"/>
          <w:kern w:val="0"/>
          <w:sz w:val="28"/>
          <w:szCs w:val="28"/>
        </w:rPr>
      </w:pPr>
      <w:r>
        <w:rPr>
          <w:rFonts w:hint="eastAsia" w:ascii="宋体" w:hAnsi="宋体"/>
          <w:b/>
          <w:bCs/>
          <w:kern w:val="0"/>
          <w:sz w:val="28"/>
          <w:szCs w:val="28"/>
        </w:rPr>
        <w:t>评分依据：</w:t>
      </w:r>
      <w:r>
        <w:rPr>
          <w:rFonts w:hint="eastAsia" w:ascii="宋体" w:hAnsi="宋体"/>
          <w:kern w:val="0"/>
          <w:sz w:val="28"/>
          <w:szCs w:val="28"/>
        </w:rPr>
        <w:t>提供企业参与技术编制相关证明资料；</w:t>
      </w:r>
    </w:p>
    <w:p>
      <w:pPr>
        <w:rPr>
          <w:rFonts w:ascii="宋体" w:hAnsi="宋体"/>
          <w:kern w:val="0"/>
          <w:sz w:val="28"/>
          <w:szCs w:val="28"/>
        </w:rPr>
      </w:pPr>
      <w:r>
        <w:rPr>
          <w:rFonts w:hint="eastAsia" w:ascii="宋体" w:hAnsi="宋体"/>
          <w:b/>
          <w:bCs/>
          <w:kern w:val="0"/>
          <w:sz w:val="28"/>
          <w:szCs w:val="28"/>
        </w:rPr>
        <w:t>评分标准：</w:t>
      </w:r>
      <w:r>
        <w:rPr>
          <w:rFonts w:hint="eastAsia" w:ascii="宋体" w:hAnsi="宋体"/>
          <w:kern w:val="0"/>
          <w:sz w:val="28"/>
          <w:szCs w:val="28"/>
        </w:rPr>
        <w:t>企业为国际或国家标准参编单位得3分；为行业标准参编单位得2分；为地方标准参编单位得1分。</w:t>
      </w:r>
    </w:p>
    <w:p>
      <w:pPr>
        <w:widowControl/>
        <w:jc w:val="left"/>
        <w:rPr>
          <w:rFonts w:ascii="宋体" w:hAnsi="宋体"/>
          <w:kern w:val="0"/>
          <w:sz w:val="18"/>
          <w:szCs w:val="18"/>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jc w:val="center"/>
        <w:rPr>
          <w:rFonts w:asciiTheme="minorEastAsia" w:hAnsiTheme="minorEastAsia"/>
          <w:b/>
          <w:sz w:val="28"/>
          <w:szCs w:val="28"/>
        </w:rPr>
      </w:pPr>
      <w:r>
        <w:rPr>
          <w:rFonts w:hint="eastAsia" w:asciiTheme="minorEastAsia" w:hAnsiTheme="minorEastAsia"/>
          <w:b/>
          <w:sz w:val="28"/>
          <w:szCs w:val="28"/>
        </w:rPr>
        <w:t>企业的财务状况（最新一期年度的收入情况）</w:t>
      </w:r>
    </w:p>
    <w:p>
      <w:pPr>
        <w:rPr>
          <w:rFonts w:ascii="宋体" w:hAnsi="宋体"/>
          <w:kern w:val="0"/>
          <w:sz w:val="28"/>
          <w:szCs w:val="28"/>
        </w:rPr>
      </w:pPr>
      <w:r>
        <w:rPr>
          <w:rFonts w:hint="eastAsia" w:ascii="宋体" w:hAnsi="宋体"/>
          <w:b/>
          <w:bCs/>
          <w:kern w:val="0"/>
          <w:sz w:val="28"/>
          <w:szCs w:val="28"/>
        </w:rPr>
        <w:t>评分依据：</w:t>
      </w:r>
      <w:r>
        <w:rPr>
          <w:rFonts w:hint="eastAsia" w:ascii="宋体" w:hAnsi="宋体"/>
          <w:kern w:val="0"/>
          <w:sz w:val="28"/>
          <w:szCs w:val="28"/>
        </w:rPr>
        <w:t>提供最新一期年度财务审计报告（须体现营业收入、利润）资料进行对比：营业收入和利润较优为优；营业收入和利润良好为良；营业收入和利润为一般为一般；其余为差。</w:t>
      </w:r>
    </w:p>
    <w:p>
      <w:pPr>
        <w:rPr>
          <w:rFonts w:ascii="宋体" w:hAnsi="宋体"/>
          <w:kern w:val="0"/>
          <w:sz w:val="28"/>
          <w:szCs w:val="28"/>
        </w:rPr>
      </w:pPr>
      <w:r>
        <w:rPr>
          <w:rFonts w:hint="eastAsia" w:ascii="宋体" w:hAnsi="宋体"/>
          <w:b/>
          <w:bCs/>
          <w:kern w:val="0"/>
          <w:sz w:val="28"/>
          <w:szCs w:val="28"/>
        </w:rPr>
        <w:t>评分标准：</w:t>
      </w:r>
      <w:r>
        <w:rPr>
          <w:rFonts w:hint="eastAsia" w:ascii="宋体" w:hAnsi="宋体"/>
          <w:kern w:val="0"/>
          <w:sz w:val="28"/>
          <w:szCs w:val="28"/>
        </w:rPr>
        <w:t>根据厂家最新一期年度财务审计报告情况进行评分：优得3分，良得2分，一般得1分，差不得分。</w:t>
      </w:r>
    </w:p>
    <w:p>
      <w:pPr>
        <w:widowControl/>
        <w:spacing w:line="360" w:lineRule="auto"/>
        <w:jc w:val="left"/>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jc w:val="center"/>
        <w:rPr>
          <w:rFonts w:asciiTheme="minorEastAsia" w:hAnsiTheme="minorEastAsia"/>
          <w:b/>
          <w:sz w:val="28"/>
          <w:szCs w:val="28"/>
        </w:rPr>
      </w:pPr>
      <w:r>
        <w:rPr>
          <w:rFonts w:hint="eastAsia" w:asciiTheme="minorEastAsia" w:hAnsiTheme="minorEastAsia"/>
          <w:b/>
          <w:sz w:val="28"/>
          <w:szCs w:val="28"/>
        </w:rPr>
        <w:t>资信等级</w:t>
      </w:r>
    </w:p>
    <w:p>
      <w:r>
        <w:rPr>
          <w:rFonts w:hint="eastAsia" w:asciiTheme="minorEastAsia" w:hAnsiTheme="minorEastAsia"/>
          <w:b/>
          <w:sz w:val="28"/>
          <w:szCs w:val="28"/>
        </w:rPr>
        <w:t>评分依</w:t>
      </w:r>
      <w:r>
        <w:rPr>
          <w:rFonts w:hint="eastAsia" w:ascii="宋体" w:hAnsi="宋体"/>
          <w:b/>
          <w:kern w:val="0"/>
          <w:sz w:val="28"/>
          <w:szCs w:val="28"/>
        </w:rPr>
        <w:t>据：</w:t>
      </w:r>
      <w:r>
        <w:rPr>
          <w:rFonts w:hint="eastAsia" w:ascii="宋体" w:hAnsi="宋体"/>
          <w:kern w:val="0"/>
          <w:sz w:val="28"/>
          <w:szCs w:val="28"/>
        </w:rPr>
        <w:t>提供银行或第三方机构开具的资信等级证明资料；</w:t>
      </w:r>
    </w:p>
    <w:p>
      <w:r>
        <w:rPr>
          <w:rFonts w:hint="eastAsia" w:ascii="宋体" w:hAnsi="宋体"/>
          <w:b/>
          <w:bCs/>
          <w:kern w:val="0"/>
          <w:sz w:val="28"/>
          <w:szCs w:val="28"/>
        </w:rPr>
        <w:t>评分标准：</w:t>
      </w:r>
      <w:r>
        <w:rPr>
          <w:rFonts w:hint="eastAsia" w:ascii="宋体" w:hAnsi="宋体"/>
          <w:kern w:val="0"/>
          <w:sz w:val="28"/>
          <w:szCs w:val="28"/>
        </w:rPr>
        <w:t>企业取得AA级及以上得2分，A级及以上得1分，其余不得分。</w:t>
      </w:r>
    </w:p>
    <w:p>
      <w:pPr>
        <w:widowControl/>
        <w:spacing w:line="360" w:lineRule="auto"/>
        <w:jc w:val="left"/>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jc w:val="center"/>
        <w:rPr>
          <w:rFonts w:asciiTheme="minorEastAsia" w:hAnsiTheme="minorEastAsia"/>
          <w:b/>
          <w:sz w:val="28"/>
          <w:szCs w:val="28"/>
        </w:rPr>
      </w:pPr>
      <w:r>
        <w:rPr>
          <w:rFonts w:hint="eastAsia" w:asciiTheme="minorEastAsia" w:hAnsiTheme="minorEastAsia"/>
          <w:b/>
          <w:sz w:val="28"/>
          <w:szCs w:val="28"/>
        </w:rPr>
        <w:t>企业守信</w:t>
      </w:r>
    </w:p>
    <w:p>
      <w:r>
        <w:rPr>
          <w:rFonts w:hint="eastAsia" w:asciiTheme="minorEastAsia" w:hAnsiTheme="minorEastAsia"/>
          <w:b/>
          <w:sz w:val="28"/>
          <w:szCs w:val="28"/>
        </w:rPr>
        <w:t>评分依</w:t>
      </w:r>
      <w:r>
        <w:rPr>
          <w:rFonts w:hint="eastAsia" w:ascii="宋体" w:hAnsi="宋体"/>
          <w:b/>
          <w:kern w:val="0"/>
          <w:sz w:val="28"/>
          <w:szCs w:val="28"/>
        </w:rPr>
        <w:t>据：</w:t>
      </w:r>
      <w:r>
        <w:rPr>
          <w:rFonts w:hint="eastAsia" w:asciiTheme="minorEastAsia" w:hAnsiTheme="minorEastAsia"/>
          <w:bCs/>
          <w:sz w:val="28"/>
          <w:szCs w:val="28"/>
        </w:rPr>
        <w:t>企业在信用中国网站被列为守信激励对象</w:t>
      </w:r>
      <w:r>
        <w:rPr>
          <w:rFonts w:hint="eastAsia"/>
        </w:rPr>
        <w:t>，</w:t>
      </w:r>
      <w:r>
        <w:rPr>
          <w:rFonts w:hint="eastAsia" w:asciiTheme="minorEastAsia" w:hAnsiTheme="minorEastAsia"/>
          <w:bCs/>
          <w:sz w:val="28"/>
          <w:szCs w:val="28"/>
        </w:rPr>
        <w:t>提供信用中国网站（www.creditchina.gov.cn）截图证明；</w:t>
      </w:r>
    </w:p>
    <w:p>
      <w:r>
        <w:rPr>
          <w:rFonts w:hint="eastAsia" w:ascii="宋体" w:hAnsi="宋体"/>
          <w:b/>
          <w:bCs/>
          <w:kern w:val="0"/>
          <w:sz w:val="28"/>
          <w:szCs w:val="28"/>
        </w:rPr>
        <w:t>评分标准：</w:t>
      </w:r>
      <w:r>
        <w:rPr>
          <w:rFonts w:hint="eastAsia" w:asciiTheme="minorEastAsia" w:hAnsiTheme="minorEastAsia"/>
          <w:bCs/>
          <w:sz w:val="28"/>
          <w:szCs w:val="28"/>
        </w:rPr>
        <w:t>企业在信用中国网站被列为守信激励对象得2分；没有不得分。</w:t>
      </w:r>
    </w:p>
    <w:p>
      <w:pPr>
        <w:widowControl/>
        <w:spacing w:line="360" w:lineRule="auto"/>
        <w:jc w:val="left"/>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jc w:val="center"/>
        <w:rPr>
          <w:rFonts w:asciiTheme="minorEastAsia" w:hAnsiTheme="minorEastAsia"/>
          <w:b/>
          <w:sz w:val="28"/>
          <w:szCs w:val="28"/>
        </w:rPr>
      </w:pPr>
      <w:r>
        <w:rPr>
          <w:rFonts w:hint="eastAsia" w:asciiTheme="minorEastAsia" w:hAnsiTheme="minorEastAsia"/>
          <w:b/>
          <w:sz w:val="28"/>
          <w:szCs w:val="28"/>
        </w:rPr>
        <w:t>注册商标、驰名商标</w:t>
      </w:r>
    </w:p>
    <w:p>
      <w:pPr>
        <w:jc w:val="left"/>
        <w:rPr>
          <w:rFonts w:asciiTheme="minorEastAsia" w:hAnsiTheme="minorEastAsia"/>
          <w:bCs/>
          <w:sz w:val="28"/>
          <w:szCs w:val="28"/>
        </w:rPr>
      </w:pPr>
      <w:r>
        <w:rPr>
          <w:rFonts w:hint="eastAsia" w:asciiTheme="minorEastAsia" w:hAnsiTheme="minorEastAsia"/>
          <w:b/>
          <w:sz w:val="28"/>
          <w:szCs w:val="28"/>
        </w:rPr>
        <w:t>评分依据：</w:t>
      </w:r>
      <w:r>
        <w:rPr>
          <w:rFonts w:hint="eastAsia" w:asciiTheme="minorEastAsia" w:hAnsiTheme="minorEastAsia"/>
          <w:bCs/>
          <w:sz w:val="28"/>
          <w:szCs w:val="28"/>
        </w:rPr>
        <w:t>提供商标、驰名商标证书等证明资料（如中国商标网截图</w:t>
      </w:r>
      <w:r>
        <w:rPr>
          <w:rFonts w:asciiTheme="minorEastAsia" w:hAnsiTheme="minorEastAsia"/>
          <w:bCs/>
          <w:sz w:val="28"/>
          <w:szCs w:val="28"/>
        </w:rPr>
        <w:t>http://sbj.cnipa.gov.cn</w:t>
      </w:r>
      <w:r>
        <w:rPr>
          <w:rFonts w:hint="eastAsia" w:asciiTheme="minorEastAsia" w:hAnsiTheme="minorEastAsia"/>
          <w:bCs/>
          <w:sz w:val="28"/>
          <w:szCs w:val="28"/>
        </w:rPr>
        <w:t>等证明资料）；</w:t>
      </w:r>
    </w:p>
    <w:p>
      <w:pPr>
        <w:rPr>
          <w:rFonts w:asciiTheme="minorEastAsia" w:hAnsiTheme="minorEastAsia"/>
          <w:bCs/>
          <w:sz w:val="28"/>
          <w:szCs w:val="28"/>
        </w:rPr>
      </w:pPr>
      <w:r>
        <w:rPr>
          <w:rFonts w:hint="eastAsia" w:ascii="宋体" w:hAnsi="宋体"/>
          <w:b/>
          <w:bCs/>
          <w:kern w:val="0"/>
          <w:sz w:val="28"/>
          <w:szCs w:val="28"/>
        </w:rPr>
        <w:t>评分标准：</w:t>
      </w:r>
      <w:r>
        <w:rPr>
          <w:rFonts w:hint="eastAsia" w:asciiTheme="minorEastAsia" w:hAnsiTheme="minorEastAsia"/>
          <w:bCs/>
          <w:sz w:val="28"/>
          <w:szCs w:val="28"/>
        </w:rPr>
        <w:t>企业获得注册商标得2分；品牌获得工商管理局颁发的“驰名商标”得1分；没有不得分。</w:t>
      </w: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jc w:val="center"/>
        <w:rPr>
          <w:rFonts w:asciiTheme="minorEastAsia" w:hAnsiTheme="minorEastAsia"/>
          <w:b/>
          <w:sz w:val="28"/>
          <w:szCs w:val="28"/>
        </w:rPr>
      </w:pPr>
      <w:r>
        <w:rPr>
          <w:rFonts w:hint="eastAsia" w:asciiTheme="minorEastAsia" w:hAnsiTheme="minorEastAsia"/>
          <w:b/>
          <w:sz w:val="28"/>
          <w:szCs w:val="28"/>
        </w:rPr>
        <w:t>福建省内有自行成立的公司或代理公司</w:t>
      </w:r>
    </w:p>
    <w:p>
      <w:r>
        <w:rPr>
          <w:rFonts w:hint="eastAsia" w:asciiTheme="minorEastAsia" w:hAnsiTheme="minorEastAsia"/>
          <w:b/>
          <w:sz w:val="28"/>
          <w:szCs w:val="28"/>
        </w:rPr>
        <w:t>评分依据：</w:t>
      </w:r>
      <w:r>
        <w:rPr>
          <w:rFonts w:hint="eastAsia" w:asciiTheme="minorEastAsia" w:hAnsiTheme="minorEastAsia"/>
          <w:bCs/>
          <w:sz w:val="28"/>
          <w:szCs w:val="28"/>
        </w:rPr>
        <w:t>公司或成立分公司须提供注册地为福建省内的工商营业执照资料；代理公司须提供厂家授权书、注册地为福建省内的工商营业执照等资料；</w:t>
      </w:r>
    </w:p>
    <w:p>
      <w:r>
        <w:rPr>
          <w:rFonts w:hint="eastAsia" w:ascii="宋体" w:hAnsi="宋体"/>
          <w:b/>
          <w:bCs/>
          <w:kern w:val="0"/>
          <w:sz w:val="28"/>
          <w:szCs w:val="28"/>
        </w:rPr>
        <w:t>评分标准：</w:t>
      </w:r>
      <w:r>
        <w:rPr>
          <w:rFonts w:hint="eastAsia" w:asciiTheme="minorEastAsia" w:hAnsiTheme="minorEastAsia"/>
          <w:bCs/>
          <w:sz w:val="28"/>
          <w:szCs w:val="28"/>
        </w:rPr>
        <w:t>公司或成立分公司注册福建省内得4分；在福建省内有授权的销售地在或售后服务代理公司得2分；其余不得分。</w:t>
      </w:r>
    </w:p>
    <w:p>
      <w:pPr>
        <w:widowControl/>
        <w:spacing w:line="360" w:lineRule="auto"/>
        <w:jc w:val="left"/>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jc w:val="center"/>
        <w:rPr>
          <w:rFonts w:asciiTheme="minorEastAsia" w:hAnsiTheme="minorEastAsia"/>
          <w:b/>
          <w:sz w:val="28"/>
          <w:szCs w:val="28"/>
        </w:rPr>
      </w:pPr>
      <w:r>
        <w:rPr>
          <w:rFonts w:hint="eastAsia" w:asciiTheme="minorEastAsia" w:hAnsiTheme="minorEastAsia"/>
          <w:b/>
          <w:sz w:val="28"/>
          <w:szCs w:val="28"/>
        </w:rPr>
        <w:t>产品制造工艺流程</w:t>
      </w:r>
    </w:p>
    <w:p>
      <w:pPr>
        <w:rPr>
          <w:rFonts w:asciiTheme="minorEastAsia" w:hAnsiTheme="minorEastAsia"/>
          <w:bCs/>
          <w:sz w:val="28"/>
          <w:szCs w:val="28"/>
        </w:rPr>
      </w:pPr>
      <w:r>
        <w:rPr>
          <w:rFonts w:hint="eastAsia" w:asciiTheme="minorEastAsia" w:hAnsiTheme="minorEastAsia"/>
          <w:b/>
          <w:sz w:val="28"/>
          <w:szCs w:val="28"/>
        </w:rPr>
        <w:t>评分依据：</w:t>
      </w:r>
      <w:r>
        <w:rPr>
          <w:rFonts w:hint="eastAsia" w:asciiTheme="minorEastAsia" w:hAnsiTheme="minorEastAsia"/>
          <w:bCs/>
          <w:sz w:val="28"/>
          <w:szCs w:val="28"/>
        </w:rPr>
        <w:t>完整清楚介绍制造工艺流程并技术先进性得优；清楚介绍工艺流程并技术比较先进得良；有介绍工艺流程且技术一般为一般；未介绍工艺流程为差；</w:t>
      </w:r>
    </w:p>
    <w:p>
      <w:pPr>
        <w:widowControl/>
        <w:spacing w:line="360" w:lineRule="auto"/>
        <w:jc w:val="left"/>
        <w:rPr>
          <w:b/>
          <w:sz w:val="32"/>
          <w:szCs w:val="32"/>
        </w:rPr>
      </w:pPr>
      <w:r>
        <w:rPr>
          <w:rFonts w:hint="eastAsia" w:ascii="宋体" w:hAnsi="宋体"/>
          <w:b/>
          <w:bCs/>
          <w:kern w:val="0"/>
          <w:sz w:val="28"/>
          <w:szCs w:val="28"/>
        </w:rPr>
        <w:t>评分标准：</w:t>
      </w:r>
      <w:r>
        <w:rPr>
          <w:rFonts w:hint="eastAsia" w:asciiTheme="minorEastAsia" w:hAnsiTheme="minorEastAsia"/>
          <w:bCs/>
          <w:sz w:val="28"/>
          <w:szCs w:val="28"/>
        </w:rPr>
        <w:t>根据产品品类品牌制造工艺流程进行评分：优得8分，良得6分，一般得4分，差不得分。</w:t>
      </w: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jc w:val="center"/>
        <w:rPr>
          <w:rFonts w:asciiTheme="minorEastAsia" w:hAnsiTheme="minorEastAsia"/>
          <w:b/>
          <w:sz w:val="28"/>
          <w:szCs w:val="28"/>
        </w:rPr>
      </w:pPr>
      <w:r>
        <w:rPr>
          <w:rFonts w:hint="eastAsia" w:asciiTheme="minorEastAsia" w:hAnsiTheme="minorEastAsia"/>
          <w:b/>
          <w:sz w:val="28"/>
          <w:szCs w:val="28"/>
        </w:rPr>
        <w:t>产品技术参数</w:t>
      </w:r>
    </w:p>
    <w:p>
      <w:pPr>
        <w:rPr>
          <w:rFonts w:asciiTheme="minorEastAsia" w:hAnsiTheme="minorEastAsia"/>
          <w:bCs/>
          <w:sz w:val="28"/>
          <w:szCs w:val="28"/>
        </w:rPr>
      </w:pPr>
      <w:r>
        <w:rPr>
          <w:rFonts w:hint="eastAsia" w:asciiTheme="minorEastAsia" w:hAnsiTheme="minorEastAsia"/>
          <w:b/>
          <w:sz w:val="28"/>
          <w:szCs w:val="28"/>
        </w:rPr>
        <w:t>评分依据：</w:t>
      </w:r>
      <w:r>
        <w:rPr>
          <w:rFonts w:hint="eastAsia" w:asciiTheme="minorEastAsia" w:hAnsiTheme="minorEastAsia"/>
          <w:bCs/>
          <w:sz w:val="28"/>
          <w:szCs w:val="28"/>
        </w:rPr>
        <w:t>完整清楚提供技术参数并技术优质得优；清楚提供技术参数并技术比较良好得良；有提供技术参数且技术一般为一般；未提供技术参数为差；</w:t>
      </w:r>
    </w:p>
    <w:p>
      <w:pPr>
        <w:widowControl/>
        <w:spacing w:line="360" w:lineRule="auto"/>
        <w:jc w:val="left"/>
        <w:rPr>
          <w:b/>
          <w:sz w:val="32"/>
          <w:szCs w:val="32"/>
        </w:rPr>
      </w:pPr>
      <w:r>
        <w:rPr>
          <w:rFonts w:hint="eastAsia" w:ascii="宋体" w:hAnsi="宋体"/>
          <w:b/>
          <w:bCs/>
          <w:kern w:val="0"/>
          <w:sz w:val="28"/>
          <w:szCs w:val="28"/>
        </w:rPr>
        <w:t>评分标准：</w:t>
      </w:r>
      <w:r>
        <w:rPr>
          <w:rFonts w:hint="eastAsia" w:asciiTheme="minorEastAsia" w:hAnsiTheme="minorEastAsia"/>
          <w:bCs/>
          <w:sz w:val="28"/>
          <w:szCs w:val="28"/>
        </w:rPr>
        <w:t>根据产品品类品牌产品技术参数进行评分：优得5分，良得4 分，一般得3分，差不得分。</w:t>
      </w: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widowControl/>
        <w:spacing w:line="360" w:lineRule="auto"/>
        <w:jc w:val="center"/>
        <w:rPr>
          <w:b/>
          <w:sz w:val="32"/>
          <w:szCs w:val="32"/>
        </w:rPr>
      </w:pPr>
    </w:p>
    <w:p>
      <w:pPr>
        <w:jc w:val="center"/>
        <w:rPr>
          <w:rFonts w:asciiTheme="minorEastAsia" w:hAnsiTheme="minorEastAsia"/>
          <w:b/>
          <w:sz w:val="28"/>
          <w:szCs w:val="28"/>
        </w:rPr>
      </w:pPr>
      <w:r>
        <w:rPr>
          <w:rFonts w:hint="eastAsia" w:asciiTheme="minorEastAsia" w:hAnsiTheme="minorEastAsia"/>
          <w:b/>
          <w:sz w:val="28"/>
          <w:szCs w:val="28"/>
        </w:rPr>
        <w:t>产品系列全面性</w:t>
      </w:r>
    </w:p>
    <w:p>
      <w:pPr>
        <w:rPr>
          <w:rFonts w:asciiTheme="minorEastAsia" w:hAnsiTheme="minorEastAsia"/>
          <w:bCs/>
          <w:sz w:val="28"/>
          <w:szCs w:val="28"/>
        </w:rPr>
      </w:pPr>
      <w:r>
        <w:rPr>
          <w:rFonts w:hint="eastAsia" w:asciiTheme="minorEastAsia" w:hAnsiTheme="minorEastAsia"/>
          <w:b/>
          <w:sz w:val="28"/>
          <w:szCs w:val="28"/>
        </w:rPr>
        <w:t>评分依据：</w:t>
      </w:r>
      <w:r>
        <w:rPr>
          <w:rFonts w:hint="eastAsia" w:asciiTheme="minorEastAsia" w:hAnsiTheme="minorEastAsia"/>
          <w:bCs/>
          <w:sz w:val="28"/>
          <w:szCs w:val="28"/>
        </w:rPr>
        <w:t>根据提供的产品系列介绍进行评分：产品系列完整的得优；产品系列比较全得良；有部分产品系列为一般；未提供产品系列为差；</w:t>
      </w:r>
    </w:p>
    <w:p>
      <w:pPr>
        <w:rPr>
          <w:rFonts w:asciiTheme="minorEastAsia" w:hAnsiTheme="minorEastAsia"/>
          <w:bCs/>
          <w:sz w:val="28"/>
          <w:szCs w:val="28"/>
        </w:rPr>
      </w:pPr>
      <w:r>
        <w:rPr>
          <w:rFonts w:hint="eastAsia" w:ascii="宋体" w:hAnsi="宋体"/>
          <w:b/>
          <w:bCs/>
          <w:kern w:val="0"/>
          <w:sz w:val="28"/>
          <w:szCs w:val="28"/>
        </w:rPr>
        <w:t>评分标准：</w:t>
      </w:r>
      <w:r>
        <w:rPr>
          <w:rFonts w:hint="eastAsia" w:asciiTheme="minorEastAsia" w:hAnsiTheme="minorEastAsia"/>
          <w:bCs/>
          <w:sz w:val="28"/>
          <w:szCs w:val="28"/>
        </w:rPr>
        <w:t>根据产品系列全面性进行评分：优得5分，良得4 分，一般得3分，差不得分。</w:t>
      </w: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jc w:val="center"/>
        <w:rPr>
          <w:rFonts w:asciiTheme="minorEastAsia" w:hAnsiTheme="minorEastAsia"/>
          <w:b/>
          <w:sz w:val="28"/>
          <w:szCs w:val="28"/>
        </w:rPr>
      </w:pPr>
      <w:r>
        <w:rPr>
          <w:rFonts w:hint="eastAsia" w:asciiTheme="minorEastAsia" w:hAnsiTheme="minorEastAsia"/>
          <w:b/>
          <w:sz w:val="28"/>
          <w:szCs w:val="28"/>
        </w:rPr>
        <w:t>企业生产的产品质量</w:t>
      </w:r>
    </w:p>
    <w:p>
      <w:pPr>
        <w:rPr>
          <w:rFonts w:asciiTheme="minorEastAsia" w:hAnsiTheme="minorEastAsia"/>
          <w:bCs/>
          <w:sz w:val="28"/>
          <w:szCs w:val="28"/>
        </w:rPr>
      </w:pPr>
      <w:r>
        <w:rPr>
          <w:rFonts w:hint="eastAsia" w:asciiTheme="minorEastAsia" w:hAnsiTheme="minorEastAsia"/>
          <w:b/>
          <w:sz w:val="28"/>
          <w:szCs w:val="28"/>
        </w:rPr>
        <w:t>评分依据：</w:t>
      </w:r>
      <w:r>
        <w:rPr>
          <w:rFonts w:hint="eastAsia" w:asciiTheme="minorEastAsia" w:hAnsiTheme="minorEastAsia"/>
          <w:bCs/>
          <w:sz w:val="28"/>
          <w:szCs w:val="28"/>
        </w:rPr>
        <w:t>结合权威机构质量检测报告（若有实地考察、样品可结合对比）进行评审：产品质量为优得优；产品质量为良得良；产品质量为一般得一般，产品质量评价为差得差；</w:t>
      </w:r>
    </w:p>
    <w:p>
      <w:pPr>
        <w:rPr>
          <w:rFonts w:asciiTheme="minorEastAsia" w:hAnsiTheme="minorEastAsia"/>
          <w:bCs/>
          <w:sz w:val="28"/>
          <w:szCs w:val="28"/>
        </w:rPr>
      </w:pPr>
      <w:r>
        <w:rPr>
          <w:rFonts w:hint="eastAsia" w:ascii="宋体" w:hAnsi="宋体"/>
          <w:b/>
          <w:bCs/>
          <w:kern w:val="0"/>
          <w:sz w:val="28"/>
          <w:szCs w:val="28"/>
        </w:rPr>
        <w:t>评分标准：</w:t>
      </w:r>
      <w:r>
        <w:rPr>
          <w:rFonts w:hint="eastAsia" w:asciiTheme="minorEastAsia" w:hAnsiTheme="minorEastAsia"/>
          <w:bCs/>
          <w:sz w:val="28"/>
          <w:szCs w:val="28"/>
        </w:rPr>
        <w:t>根据产品品类品牌产品质量进行评分：优得8分，良得6分，一般得4分，差不得分。</w:t>
      </w: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jc w:val="center"/>
        <w:rPr>
          <w:rFonts w:asciiTheme="minorEastAsia" w:hAnsiTheme="minorEastAsia"/>
          <w:b/>
          <w:sz w:val="28"/>
          <w:szCs w:val="28"/>
        </w:rPr>
      </w:pPr>
      <w:r>
        <w:rPr>
          <w:rFonts w:hint="eastAsia" w:asciiTheme="minorEastAsia" w:hAnsiTheme="minorEastAsia"/>
          <w:b/>
          <w:sz w:val="28"/>
          <w:szCs w:val="28"/>
        </w:rPr>
        <w:t>企业管理体系认证</w:t>
      </w:r>
    </w:p>
    <w:p>
      <w:pPr>
        <w:rPr>
          <w:rFonts w:asciiTheme="minorEastAsia" w:hAnsiTheme="minorEastAsia"/>
          <w:bCs/>
          <w:sz w:val="28"/>
          <w:szCs w:val="28"/>
        </w:rPr>
      </w:pPr>
      <w:r>
        <w:rPr>
          <w:rFonts w:hint="eastAsia" w:asciiTheme="minorEastAsia" w:hAnsiTheme="minorEastAsia"/>
          <w:b/>
          <w:sz w:val="28"/>
          <w:szCs w:val="28"/>
        </w:rPr>
        <w:t>评分依据：</w:t>
      </w:r>
      <w:r>
        <w:rPr>
          <w:rFonts w:hint="eastAsia" w:asciiTheme="minorEastAsia" w:hAnsiTheme="minorEastAsia"/>
          <w:bCs/>
          <w:sz w:val="28"/>
          <w:szCs w:val="28"/>
        </w:rPr>
        <w:t>提供各种体系认证证书资料；</w:t>
      </w:r>
    </w:p>
    <w:p>
      <w:pPr>
        <w:rPr>
          <w:rFonts w:asciiTheme="minorEastAsia" w:hAnsiTheme="minorEastAsia"/>
          <w:bCs/>
          <w:sz w:val="28"/>
          <w:szCs w:val="28"/>
        </w:rPr>
      </w:pPr>
      <w:r>
        <w:rPr>
          <w:rFonts w:hint="eastAsia" w:ascii="宋体" w:hAnsi="宋体"/>
          <w:b/>
          <w:bCs/>
          <w:kern w:val="0"/>
          <w:sz w:val="28"/>
          <w:szCs w:val="28"/>
        </w:rPr>
        <w:t>评分标准</w:t>
      </w:r>
      <w:r>
        <w:rPr>
          <w:rFonts w:hint="eastAsia" w:asciiTheme="minorEastAsia" w:hAnsiTheme="minorEastAsia"/>
          <w:b/>
          <w:sz w:val="28"/>
          <w:szCs w:val="28"/>
        </w:rPr>
        <w:t>：</w:t>
      </w:r>
      <w:r>
        <w:rPr>
          <w:rFonts w:hint="eastAsia" w:asciiTheme="minorEastAsia" w:hAnsiTheme="minorEastAsia"/>
          <w:bCs/>
          <w:sz w:val="28"/>
          <w:szCs w:val="28"/>
        </w:rPr>
        <w:t>五种体系认证（质量管理体系认证或环境管理体系认证或职业健康和安全管理系统体系认证或</w:t>
      </w:r>
      <w:r>
        <w:fldChar w:fldCharType="begin"/>
      </w:r>
      <w:r>
        <w:instrText xml:space="preserve"> HYPERLINK "http://kcf.com.cn/channel.asp?id=33" </w:instrText>
      </w:r>
      <w:r>
        <w:fldChar w:fldCharType="separate"/>
      </w:r>
      <w:r>
        <w:rPr>
          <w:rFonts w:asciiTheme="minorEastAsia" w:hAnsiTheme="minorEastAsia"/>
          <w:bCs/>
          <w:sz w:val="28"/>
          <w:szCs w:val="28"/>
        </w:rPr>
        <w:t>信息安全管理体系认证</w:t>
      </w:r>
      <w:r>
        <w:rPr>
          <w:rFonts w:asciiTheme="minorEastAsia" w:hAnsiTheme="minorEastAsia"/>
          <w:bCs/>
          <w:sz w:val="28"/>
          <w:szCs w:val="28"/>
        </w:rPr>
        <w:fldChar w:fldCharType="end"/>
      </w:r>
      <w:r>
        <w:rPr>
          <w:rFonts w:hint="eastAsia" w:asciiTheme="minorEastAsia" w:hAnsiTheme="minorEastAsia"/>
          <w:bCs/>
          <w:sz w:val="28"/>
          <w:szCs w:val="28"/>
        </w:rPr>
        <w:t>）：每提供其中一种体系认证得1分，本项最高3分。</w:t>
      </w: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jc w:val="center"/>
        <w:rPr>
          <w:rFonts w:asciiTheme="minorEastAsia" w:hAnsiTheme="minorEastAsia"/>
          <w:b/>
          <w:sz w:val="28"/>
          <w:szCs w:val="28"/>
        </w:rPr>
      </w:pPr>
      <w:r>
        <w:rPr>
          <w:rFonts w:hint="eastAsia" w:asciiTheme="minorEastAsia" w:hAnsiTheme="minorEastAsia"/>
          <w:b/>
          <w:sz w:val="28"/>
          <w:szCs w:val="28"/>
        </w:rPr>
        <w:t>专利证书</w:t>
      </w:r>
    </w:p>
    <w:p>
      <w:r>
        <w:rPr>
          <w:rFonts w:hint="eastAsia" w:asciiTheme="minorEastAsia" w:hAnsiTheme="minorEastAsia"/>
          <w:b/>
          <w:sz w:val="28"/>
          <w:szCs w:val="28"/>
        </w:rPr>
        <w:t>评分依据：</w:t>
      </w:r>
      <w:r>
        <w:rPr>
          <w:rFonts w:hint="eastAsia" w:asciiTheme="minorEastAsia" w:hAnsiTheme="minorEastAsia"/>
          <w:bCs/>
          <w:sz w:val="28"/>
          <w:szCs w:val="28"/>
        </w:rPr>
        <w:t>提供产品各种专利证书；</w:t>
      </w:r>
    </w:p>
    <w:p>
      <w:pPr>
        <w:rPr>
          <w:rFonts w:asciiTheme="minorEastAsia" w:hAnsiTheme="minorEastAsia"/>
          <w:bCs/>
          <w:sz w:val="28"/>
          <w:szCs w:val="28"/>
        </w:rPr>
      </w:pPr>
      <w:r>
        <w:rPr>
          <w:rFonts w:hint="eastAsia" w:ascii="宋体" w:hAnsi="宋体"/>
          <w:b/>
          <w:bCs/>
          <w:kern w:val="0"/>
          <w:sz w:val="28"/>
          <w:szCs w:val="28"/>
        </w:rPr>
        <w:t>评分标准：</w:t>
      </w:r>
      <w:r>
        <w:rPr>
          <w:rFonts w:hint="eastAsia" w:asciiTheme="minorEastAsia" w:hAnsiTheme="minorEastAsia"/>
          <w:bCs/>
          <w:sz w:val="28"/>
          <w:szCs w:val="28"/>
        </w:rPr>
        <w:t>获得发明或实用新型或外观设计三种类型专利证书：每提供一种类型专利证书得1分，本项最高2分。</w:t>
      </w: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jc w:val="center"/>
        <w:rPr>
          <w:rFonts w:asciiTheme="minorEastAsia" w:hAnsiTheme="minorEastAsia"/>
          <w:b/>
          <w:sz w:val="28"/>
          <w:szCs w:val="28"/>
        </w:rPr>
      </w:pPr>
      <w:r>
        <w:rPr>
          <w:rFonts w:hint="eastAsia" w:asciiTheme="minorEastAsia" w:hAnsiTheme="minorEastAsia"/>
          <w:b/>
          <w:sz w:val="28"/>
          <w:szCs w:val="28"/>
        </w:rPr>
        <w:t>企业证书及获奖</w:t>
      </w:r>
    </w:p>
    <w:p>
      <w:r>
        <w:rPr>
          <w:rFonts w:hint="eastAsia" w:asciiTheme="minorEastAsia" w:hAnsiTheme="minorEastAsia"/>
          <w:b/>
          <w:sz w:val="28"/>
          <w:szCs w:val="28"/>
        </w:rPr>
        <w:t>评分依据：</w:t>
      </w:r>
      <w:r>
        <w:rPr>
          <w:rFonts w:hint="eastAsia" w:asciiTheme="minorEastAsia" w:hAnsiTheme="minorEastAsia"/>
          <w:bCs/>
          <w:sz w:val="28"/>
          <w:szCs w:val="28"/>
        </w:rPr>
        <w:t>提供相关证书及获奖证明资料；</w:t>
      </w:r>
    </w:p>
    <w:p>
      <w:pPr>
        <w:rPr>
          <w:rFonts w:asciiTheme="minorEastAsia" w:hAnsiTheme="minorEastAsia"/>
          <w:bCs/>
          <w:sz w:val="28"/>
          <w:szCs w:val="28"/>
        </w:rPr>
      </w:pPr>
      <w:r>
        <w:rPr>
          <w:rFonts w:hint="eastAsia" w:ascii="宋体" w:hAnsi="宋体"/>
          <w:b/>
          <w:bCs/>
          <w:kern w:val="0"/>
          <w:sz w:val="28"/>
          <w:szCs w:val="28"/>
        </w:rPr>
        <w:t>评分标准：</w:t>
      </w:r>
      <w:r>
        <w:rPr>
          <w:rFonts w:hint="eastAsia" w:asciiTheme="minorEastAsia" w:hAnsiTheme="minorEastAsia"/>
          <w:bCs/>
          <w:sz w:val="28"/>
          <w:szCs w:val="28"/>
        </w:rPr>
        <w:t>获得高新技术企业证书或软件著作权证书或CNAS实验室认可证书或市级及以上科技进步奖：每提供一项得1分，本项最高2分。</w:t>
      </w: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jc w:val="center"/>
        <w:rPr>
          <w:rFonts w:asciiTheme="minorEastAsia" w:hAnsiTheme="minorEastAsia"/>
          <w:b/>
          <w:sz w:val="28"/>
          <w:szCs w:val="28"/>
        </w:rPr>
      </w:pPr>
      <w:r>
        <w:rPr>
          <w:rFonts w:hint="eastAsia" w:asciiTheme="minorEastAsia" w:hAnsiTheme="minorEastAsia"/>
          <w:b/>
          <w:sz w:val="28"/>
          <w:szCs w:val="28"/>
        </w:rPr>
        <w:t>企业生产的产品报价</w:t>
      </w:r>
    </w:p>
    <w:p>
      <w:pPr>
        <w:rPr>
          <w:rFonts w:asciiTheme="minorEastAsia" w:hAnsiTheme="minorEastAsia"/>
          <w:bCs/>
          <w:sz w:val="28"/>
          <w:szCs w:val="28"/>
        </w:rPr>
      </w:pPr>
      <w:r>
        <w:rPr>
          <w:rFonts w:hint="eastAsia" w:asciiTheme="minorEastAsia" w:hAnsiTheme="minorEastAsia"/>
          <w:b/>
          <w:sz w:val="28"/>
          <w:szCs w:val="28"/>
        </w:rPr>
        <w:t>评分依据：</w:t>
      </w:r>
      <w:r>
        <w:rPr>
          <w:rFonts w:hint="eastAsia" w:asciiTheme="minorEastAsia" w:hAnsiTheme="minorEastAsia"/>
          <w:bCs/>
          <w:sz w:val="28"/>
          <w:szCs w:val="28"/>
        </w:rPr>
        <w:t>提供企业生产的入库品类常规产品目前市面价格；</w:t>
      </w:r>
    </w:p>
    <w:p>
      <w:pPr>
        <w:rPr>
          <w:rFonts w:asciiTheme="minorEastAsia" w:hAnsiTheme="minorEastAsia"/>
          <w:bCs/>
          <w:sz w:val="28"/>
          <w:szCs w:val="28"/>
        </w:rPr>
      </w:pPr>
      <w:r>
        <w:rPr>
          <w:rFonts w:hint="eastAsia" w:ascii="宋体" w:hAnsi="宋体"/>
          <w:b/>
          <w:bCs/>
          <w:kern w:val="0"/>
          <w:sz w:val="28"/>
          <w:szCs w:val="28"/>
        </w:rPr>
        <w:t>评分标准：</w:t>
      </w:r>
      <w:r>
        <w:rPr>
          <w:rFonts w:hint="eastAsia" w:asciiTheme="minorEastAsia" w:hAnsiTheme="minorEastAsia"/>
          <w:bCs/>
          <w:sz w:val="28"/>
          <w:szCs w:val="28"/>
        </w:rPr>
        <w:t>提供企业生产的入库品类常规产品报价单进行评分：有提供得2分，无提供不得分。</w:t>
      </w: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jc w:val="center"/>
        <w:rPr>
          <w:rFonts w:asciiTheme="minorEastAsia" w:hAnsiTheme="minorEastAsia"/>
          <w:b/>
          <w:sz w:val="28"/>
          <w:szCs w:val="28"/>
        </w:rPr>
      </w:pPr>
      <w:r>
        <w:rPr>
          <w:rFonts w:hint="eastAsia" w:asciiTheme="minorEastAsia" w:hAnsiTheme="minorEastAsia"/>
          <w:b/>
          <w:sz w:val="28"/>
          <w:szCs w:val="28"/>
        </w:rPr>
        <w:t>近五年的产品业绩情况（不同品类产品，业绩须分别归类列出）</w:t>
      </w:r>
    </w:p>
    <w:p>
      <w:pPr>
        <w:widowControl/>
        <w:jc w:val="left"/>
        <w:rPr>
          <w:rFonts w:asciiTheme="minorEastAsia" w:hAnsiTheme="minorEastAsia"/>
          <w:bCs/>
          <w:sz w:val="28"/>
          <w:szCs w:val="28"/>
        </w:rPr>
      </w:pPr>
      <w:r>
        <w:rPr>
          <w:rFonts w:hint="eastAsia" w:asciiTheme="minorEastAsia" w:hAnsiTheme="minorEastAsia"/>
          <w:b/>
          <w:sz w:val="28"/>
          <w:szCs w:val="28"/>
        </w:rPr>
        <w:t>评分依据：</w:t>
      </w:r>
      <w:r>
        <w:rPr>
          <w:rFonts w:hint="eastAsia" w:asciiTheme="minorEastAsia" w:hAnsiTheme="minorEastAsia"/>
          <w:bCs/>
          <w:sz w:val="28"/>
          <w:szCs w:val="28"/>
        </w:rPr>
        <w:t>1、须提供近五年合同复印件并汇总项目合同列表（合同原件业主备查，近五年以入库征集截止时间起算。）；</w:t>
      </w:r>
    </w:p>
    <w:p>
      <w:pPr>
        <w:widowControl/>
        <w:jc w:val="left"/>
        <w:rPr>
          <w:rFonts w:hint="eastAsia" w:asciiTheme="minorEastAsia" w:hAnsiTheme="minorEastAsia"/>
          <w:bCs/>
          <w:sz w:val="28"/>
          <w:szCs w:val="28"/>
        </w:rPr>
      </w:pPr>
      <w:r>
        <w:rPr>
          <w:rFonts w:hint="eastAsia" w:asciiTheme="minorEastAsia" w:hAnsiTheme="minorEastAsia"/>
          <w:bCs/>
          <w:sz w:val="28"/>
          <w:szCs w:val="28"/>
        </w:rPr>
        <w:t>2、合同复印件内容须至少体现销售品牌(除销售方为厂家外)</w:t>
      </w:r>
      <w:r>
        <w:rPr>
          <w:rFonts w:hint="eastAsia" w:asciiTheme="minorEastAsia" w:hAnsiTheme="minorEastAsia"/>
          <w:bCs/>
          <w:sz w:val="28"/>
          <w:szCs w:val="28"/>
          <w:lang w:eastAsia="zh-CN"/>
        </w:rPr>
        <w:t>、</w:t>
      </w:r>
      <w:r>
        <w:rPr>
          <w:rFonts w:hint="eastAsia" w:asciiTheme="minorEastAsia" w:hAnsiTheme="minorEastAsia"/>
          <w:bCs/>
          <w:sz w:val="28"/>
          <w:szCs w:val="28"/>
        </w:rPr>
        <w:t>项目名称</w:t>
      </w:r>
      <w:r>
        <w:rPr>
          <w:rFonts w:hint="eastAsia" w:asciiTheme="minorEastAsia" w:hAnsiTheme="minorEastAsia"/>
          <w:bCs/>
          <w:sz w:val="28"/>
          <w:szCs w:val="28"/>
          <w:lang w:eastAsia="zh-CN"/>
        </w:rPr>
        <w:t>，</w:t>
      </w:r>
      <w:r>
        <w:rPr>
          <w:rFonts w:hint="eastAsia" w:asciiTheme="minorEastAsia" w:hAnsiTheme="minorEastAsia"/>
          <w:bCs/>
          <w:sz w:val="28"/>
          <w:szCs w:val="28"/>
        </w:rPr>
        <w:t>若以上未明确不得分；</w:t>
      </w:r>
    </w:p>
    <w:p>
      <w:pPr>
        <w:widowControl/>
        <w:jc w:val="left"/>
        <w:rPr>
          <w:rFonts w:hint="eastAsia" w:asciiTheme="minorEastAsia" w:hAnsiTheme="minorEastAsia"/>
          <w:bCs/>
          <w:sz w:val="28"/>
          <w:szCs w:val="28"/>
        </w:rPr>
      </w:pPr>
      <w:r>
        <w:rPr>
          <w:rFonts w:hint="eastAsia" w:asciiTheme="minorEastAsia" w:hAnsiTheme="minorEastAsia"/>
          <w:bCs/>
          <w:sz w:val="28"/>
          <w:szCs w:val="28"/>
        </w:rPr>
        <w:t>3、合同金额须体现入库品类金额，若体现的金额为含其他产品金额，则合同清单须能单独显示清楚入库品类金额，否则按0.5分计取，并且最多认可10份合同。</w:t>
      </w:r>
    </w:p>
    <w:p>
      <w:pPr>
        <w:rPr>
          <w:rFonts w:hint="eastAsia" w:asciiTheme="minorEastAsia" w:hAnsiTheme="minorEastAsia"/>
          <w:bCs/>
          <w:sz w:val="28"/>
          <w:szCs w:val="28"/>
        </w:rPr>
      </w:pPr>
      <w:r>
        <w:rPr>
          <w:rFonts w:hint="eastAsia" w:ascii="宋体" w:hAnsi="宋体"/>
          <w:b/>
          <w:bCs/>
          <w:kern w:val="0"/>
          <w:sz w:val="28"/>
          <w:szCs w:val="28"/>
        </w:rPr>
        <w:t>评分标准：</w:t>
      </w:r>
      <w:r>
        <w:rPr>
          <w:rFonts w:hint="eastAsia" w:asciiTheme="minorEastAsia" w:hAnsiTheme="minorEastAsia"/>
          <w:bCs/>
          <w:sz w:val="28"/>
          <w:szCs w:val="28"/>
        </w:rPr>
        <w:t>1、根据产品销售该品类合同金额进行评分：合同金额未体现或10万以下每个合同加0.5分（合同金额未体现最多认可10份）,10万-100万元（含10万元）每个合同加1分,100万-500万元（含100万元）每个合同加2分,500万元及以上每个合同加3分；以上满分2</w:t>
      </w:r>
      <w:r>
        <w:rPr>
          <w:rFonts w:hint="eastAsia" w:asciiTheme="minorEastAsia" w:hAnsiTheme="minorEastAsia"/>
          <w:bCs/>
          <w:sz w:val="28"/>
          <w:szCs w:val="28"/>
          <w:lang w:val="en-US" w:eastAsia="zh-CN"/>
        </w:rPr>
        <w:t>2</w:t>
      </w:r>
      <w:r>
        <w:rPr>
          <w:rFonts w:hint="eastAsia" w:asciiTheme="minorEastAsia" w:hAnsiTheme="minorEastAsia"/>
          <w:bCs/>
          <w:sz w:val="28"/>
          <w:szCs w:val="28"/>
        </w:rPr>
        <w:t xml:space="preserve">分。  </w:t>
      </w:r>
    </w:p>
    <w:p>
      <w:pPr>
        <w:rPr>
          <w:rFonts w:hint="eastAsia" w:asciiTheme="minorEastAsia" w:hAnsiTheme="minorEastAsia"/>
          <w:bCs/>
          <w:sz w:val="28"/>
          <w:szCs w:val="28"/>
        </w:rPr>
      </w:pPr>
      <w:r>
        <w:rPr>
          <w:rFonts w:hint="eastAsia" w:asciiTheme="minorEastAsia" w:hAnsiTheme="minorEastAsia"/>
          <w:bCs/>
          <w:sz w:val="28"/>
          <w:szCs w:val="28"/>
        </w:rPr>
        <w:t>2、合同业绩类型进行评分：</w:t>
      </w:r>
      <w:r>
        <w:rPr>
          <w:rFonts w:hint="eastAsia" w:asciiTheme="minorEastAsia" w:hAnsiTheme="minorEastAsia"/>
          <w:bCs/>
          <w:sz w:val="28"/>
          <w:szCs w:val="28"/>
          <w:lang w:eastAsia="zh-CN"/>
        </w:rPr>
        <w:t>机场年吞吐量</w:t>
      </w:r>
      <w:r>
        <w:rPr>
          <w:rFonts w:hint="eastAsia" w:asciiTheme="minorEastAsia" w:hAnsiTheme="minorEastAsia"/>
          <w:bCs/>
          <w:sz w:val="28"/>
          <w:szCs w:val="28"/>
          <w:lang w:val="en-US" w:eastAsia="zh-CN"/>
        </w:rPr>
        <w:t>1</w:t>
      </w:r>
      <w:r>
        <w:rPr>
          <w:rFonts w:hint="eastAsia" w:asciiTheme="minorEastAsia" w:hAnsiTheme="minorEastAsia"/>
          <w:bCs/>
          <w:sz w:val="28"/>
          <w:szCs w:val="28"/>
          <w:lang w:eastAsia="zh-CN"/>
        </w:rPr>
        <w:t>千万</w:t>
      </w:r>
      <w:r>
        <w:rPr>
          <w:rFonts w:hint="eastAsia" w:asciiTheme="minorEastAsia" w:hAnsiTheme="minorEastAsia"/>
          <w:bCs/>
          <w:sz w:val="28"/>
          <w:szCs w:val="28"/>
          <w:lang w:val="en-US" w:eastAsia="zh-CN"/>
        </w:rPr>
        <w:t>-2千万</w:t>
      </w:r>
      <w:r>
        <w:rPr>
          <w:rFonts w:hint="eastAsia" w:asciiTheme="minorEastAsia" w:hAnsiTheme="minorEastAsia"/>
          <w:bCs/>
          <w:sz w:val="28"/>
          <w:szCs w:val="28"/>
          <w:lang w:eastAsia="zh-CN"/>
        </w:rPr>
        <w:t>级别业绩的每个得</w:t>
      </w:r>
      <w:r>
        <w:rPr>
          <w:rFonts w:hint="eastAsia" w:asciiTheme="minorEastAsia" w:hAnsiTheme="minorEastAsia"/>
          <w:bCs/>
          <w:sz w:val="28"/>
          <w:szCs w:val="28"/>
          <w:lang w:val="en-US" w:eastAsia="zh-CN"/>
        </w:rPr>
        <w:t>1分，2千万级别以上业绩的每个得2分，最高得10分</w:t>
      </w: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p>
      <w:pPr>
        <w:rPr>
          <w:rFonts w:asciiTheme="minorEastAsia" w:hAnsiTheme="minorEastAsia"/>
          <w:bCs/>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trackedChanges" w:enforcement="1" w:cryptProviderType="rsaFull" w:cryptAlgorithmClass="hash" w:cryptAlgorithmType="typeAny" w:cryptAlgorithmSid="4" w:cryptSpinCount="100000" w:hash="rMDtydiOMGm13VwgIRO4jR1ZkHU=" w:salt="1DG0MAzbvo4HOJUiv1Ycw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I1MmEzMTAzZGQyZTU2ODQzOTNhMmIyNDhhZTMwODYifQ=="/>
  </w:docVars>
  <w:rsids>
    <w:rsidRoot w:val="005A3803"/>
    <w:rsid w:val="00006F2B"/>
    <w:rsid w:val="00016572"/>
    <w:rsid w:val="00016A06"/>
    <w:rsid w:val="000323A9"/>
    <w:rsid w:val="000347A4"/>
    <w:rsid w:val="00054A7A"/>
    <w:rsid w:val="000559DE"/>
    <w:rsid w:val="00061D2A"/>
    <w:rsid w:val="00065131"/>
    <w:rsid w:val="00080549"/>
    <w:rsid w:val="00090045"/>
    <w:rsid w:val="000C1535"/>
    <w:rsid w:val="000D1D2E"/>
    <w:rsid w:val="000D3AE1"/>
    <w:rsid w:val="00122A01"/>
    <w:rsid w:val="00133962"/>
    <w:rsid w:val="001A1B55"/>
    <w:rsid w:val="001B1651"/>
    <w:rsid w:val="001E1596"/>
    <w:rsid w:val="00252FA7"/>
    <w:rsid w:val="00254F26"/>
    <w:rsid w:val="0026694D"/>
    <w:rsid w:val="00271209"/>
    <w:rsid w:val="00271498"/>
    <w:rsid w:val="00275D5E"/>
    <w:rsid w:val="00292E0C"/>
    <w:rsid w:val="003158C1"/>
    <w:rsid w:val="003264A4"/>
    <w:rsid w:val="00345318"/>
    <w:rsid w:val="003736BC"/>
    <w:rsid w:val="00390157"/>
    <w:rsid w:val="003B0DDA"/>
    <w:rsid w:val="00401528"/>
    <w:rsid w:val="0040206D"/>
    <w:rsid w:val="00440B98"/>
    <w:rsid w:val="00454D45"/>
    <w:rsid w:val="00467776"/>
    <w:rsid w:val="004B6307"/>
    <w:rsid w:val="004C4EB5"/>
    <w:rsid w:val="004E1A1B"/>
    <w:rsid w:val="005232DC"/>
    <w:rsid w:val="00553293"/>
    <w:rsid w:val="00583491"/>
    <w:rsid w:val="00597E65"/>
    <w:rsid w:val="005A3803"/>
    <w:rsid w:val="005A7308"/>
    <w:rsid w:val="005C0F3F"/>
    <w:rsid w:val="005C4460"/>
    <w:rsid w:val="005C5EE5"/>
    <w:rsid w:val="005C6C20"/>
    <w:rsid w:val="005F19C8"/>
    <w:rsid w:val="005F74B0"/>
    <w:rsid w:val="006033CD"/>
    <w:rsid w:val="006905AE"/>
    <w:rsid w:val="006C2A51"/>
    <w:rsid w:val="00707B1D"/>
    <w:rsid w:val="00715AF0"/>
    <w:rsid w:val="00717DD9"/>
    <w:rsid w:val="00764B49"/>
    <w:rsid w:val="007D12C3"/>
    <w:rsid w:val="007D54DF"/>
    <w:rsid w:val="007F7588"/>
    <w:rsid w:val="00816CE0"/>
    <w:rsid w:val="008B745E"/>
    <w:rsid w:val="00930071"/>
    <w:rsid w:val="00940616"/>
    <w:rsid w:val="00965156"/>
    <w:rsid w:val="009720D7"/>
    <w:rsid w:val="009E5DE3"/>
    <w:rsid w:val="009F133F"/>
    <w:rsid w:val="00A205B1"/>
    <w:rsid w:val="00AC224B"/>
    <w:rsid w:val="00AE578D"/>
    <w:rsid w:val="00AF025C"/>
    <w:rsid w:val="00B21764"/>
    <w:rsid w:val="00B406BA"/>
    <w:rsid w:val="00B47036"/>
    <w:rsid w:val="00BC6DC0"/>
    <w:rsid w:val="00C45E99"/>
    <w:rsid w:val="00C962BF"/>
    <w:rsid w:val="00CB3448"/>
    <w:rsid w:val="00CB79D3"/>
    <w:rsid w:val="00CF323A"/>
    <w:rsid w:val="00D10664"/>
    <w:rsid w:val="00D73747"/>
    <w:rsid w:val="00DA0E5A"/>
    <w:rsid w:val="00DB465D"/>
    <w:rsid w:val="00DF5E63"/>
    <w:rsid w:val="00E11A3D"/>
    <w:rsid w:val="00E14B09"/>
    <w:rsid w:val="00E229BC"/>
    <w:rsid w:val="00E353C0"/>
    <w:rsid w:val="00E66C6C"/>
    <w:rsid w:val="00E77548"/>
    <w:rsid w:val="00E8112D"/>
    <w:rsid w:val="00E91B8E"/>
    <w:rsid w:val="00EE2C16"/>
    <w:rsid w:val="00EE76F4"/>
    <w:rsid w:val="00F10482"/>
    <w:rsid w:val="00F70F2A"/>
    <w:rsid w:val="00FB0E93"/>
    <w:rsid w:val="04CF1463"/>
    <w:rsid w:val="054B4026"/>
    <w:rsid w:val="0AFA13CC"/>
    <w:rsid w:val="127952CC"/>
    <w:rsid w:val="176C53FF"/>
    <w:rsid w:val="255F65A3"/>
    <w:rsid w:val="28074CD0"/>
    <w:rsid w:val="291E0523"/>
    <w:rsid w:val="34EC4530"/>
    <w:rsid w:val="3ACA22B9"/>
    <w:rsid w:val="3F4C5993"/>
    <w:rsid w:val="41B33AA7"/>
    <w:rsid w:val="43503578"/>
    <w:rsid w:val="44D348FB"/>
    <w:rsid w:val="4AB77AAC"/>
    <w:rsid w:val="4E9F6868"/>
    <w:rsid w:val="50BD21FC"/>
    <w:rsid w:val="56BB7D62"/>
    <w:rsid w:val="5B03111D"/>
    <w:rsid w:val="5BE93CBD"/>
    <w:rsid w:val="5E5D669C"/>
    <w:rsid w:val="5F0535B2"/>
    <w:rsid w:val="67B42DB2"/>
    <w:rsid w:val="69A71894"/>
    <w:rsid w:val="6DB6025A"/>
    <w:rsid w:val="701530CA"/>
    <w:rsid w:val="768C5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qFormat="1"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21"/>
      <w:szCs w:val="21"/>
    </w:rPr>
  </w:style>
  <w:style w:type="paragraph" w:styleId="3">
    <w:name w:val="Normal Indent"/>
    <w:basedOn w:val="1"/>
    <w:qFormat/>
    <w:uiPriority w:val="0"/>
    <w:pPr>
      <w:ind w:firstLine="420"/>
    </w:pPr>
    <w:rPr>
      <w:rFonts w:ascii="Times New Roman" w:hAnsi="Times New Roman" w:eastAsia="宋体" w:cs="Times New Roman"/>
      <w:szCs w:val="20"/>
    </w:rPr>
  </w:style>
  <w:style w:type="paragraph" w:styleId="4">
    <w:name w:val="Plain Text"/>
    <w:basedOn w:val="1"/>
    <w:link w:val="14"/>
    <w:semiHidden/>
    <w:unhideWhenUsed/>
    <w:qFormat/>
    <w:uiPriority w:val="99"/>
    <w:rPr>
      <w:rFonts w:ascii="宋体" w:hAnsi="Courier New" w:eastAsia="宋体" w:cs="Courier New"/>
      <w:szCs w:val="21"/>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FollowedHyperlink"/>
    <w:basedOn w:val="8"/>
    <w:semiHidden/>
    <w:unhideWhenUsed/>
    <w:qFormat/>
    <w:uiPriority w:val="99"/>
    <w:rPr>
      <w:color w:val="800080"/>
      <w:u w:val="none"/>
    </w:rPr>
  </w:style>
  <w:style w:type="character" w:styleId="10">
    <w:name w:val="Hyperlink"/>
    <w:basedOn w:val="8"/>
    <w:unhideWhenUsed/>
    <w:qFormat/>
    <w:uiPriority w:val="99"/>
    <w:rPr>
      <w:color w:val="0000FF"/>
      <w:u w:val="none"/>
    </w:rPr>
  </w:style>
  <w:style w:type="character" w:styleId="11">
    <w:name w:val="HTML Cite"/>
    <w:basedOn w:val="8"/>
    <w:semiHidden/>
    <w:unhideWhenUsed/>
    <w:qFormat/>
    <w:uiPriority w:val="99"/>
    <w:rPr>
      <w:rFonts w:hint="eastAsia" w:ascii="宋体" w:hAnsi="宋体" w:eastAsia="宋体" w:cs="宋体"/>
      <w:sz w:val="18"/>
      <w:szCs w:val="18"/>
    </w:rPr>
  </w:style>
  <w:style w:type="paragraph" w:styleId="12">
    <w:name w:val="List Paragraph"/>
    <w:basedOn w:val="1"/>
    <w:qFormat/>
    <w:uiPriority w:val="34"/>
    <w:pPr>
      <w:widowControl/>
      <w:spacing w:before="100" w:beforeAutospacing="1" w:after="100" w:afterAutospacing="1"/>
      <w:jc w:val="left"/>
    </w:pPr>
    <w:rPr>
      <w:rFonts w:ascii="宋体" w:hAnsi="宋体" w:eastAsia="宋体" w:cs="宋体"/>
      <w:kern w:val="0"/>
      <w:sz w:val="24"/>
      <w:szCs w:val="24"/>
    </w:rPr>
  </w:style>
  <w:style w:type="paragraph" w:customStyle="1" w:styleId="13">
    <w:name w:val="样式3"/>
    <w:basedOn w:val="4"/>
    <w:qFormat/>
    <w:uiPriority w:val="0"/>
    <w:pPr>
      <w:spacing w:line="0" w:lineRule="atLeast"/>
      <w:outlineLvl w:val="0"/>
    </w:pPr>
    <w:rPr>
      <w:rFonts w:cs="Times New Roman"/>
      <w:sz w:val="28"/>
      <w:szCs w:val="20"/>
    </w:rPr>
  </w:style>
  <w:style w:type="character" w:customStyle="1" w:styleId="14">
    <w:name w:val="纯文本 Char"/>
    <w:basedOn w:val="8"/>
    <w:link w:val="4"/>
    <w:semiHidden/>
    <w:qFormat/>
    <w:uiPriority w:val="99"/>
    <w:rPr>
      <w:rFonts w:ascii="宋体" w:hAnsi="Courier New" w:eastAsia="宋体" w:cs="Courier New"/>
      <w:szCs w:val="21"/>
    </w:rPr>
  </w:style>
  <w:style w:type="character" w:customStyle="1" w:styleId="15">
    <w:name w:val="15"/>
    <w:basedOn w:val="8"/>
    <w:qFormat/>
    <w:uiPriority w:val="0"/>
    <w:rPr>
      <w:rFonts w:hint="default" w:ascii="Calibri" w:hAnsi="Calibri" w:cs="Calibri"/>
      <w:i/>
    </w:rPr>
  </w:style>
  <w:style w:type="character" w:customStyle="1" w:styleId="16">
    <w:name w:val="页眉 Char"/>
    <w:basedOn w:val="8"/>
    <w:link w:val="6"/>
    <w:qFormat/>
    <w:uiPriority w:val="99"/>
    <w:rPr>
      <w:sz w:val="18"/>
      <w:szCs w:val="18"/>
    </w:rPr>
  </w:style>
  <w:style w:type="character" w:customStyle="1" w:styleId="17">
    <w:name w:val="页脚 Char"/>
    <w:basedOn w:val="8"/>
    <w:link w:val="5"/>
    <w:qFormat/>
    <w:uiPriority w:val="99"/>
    <w:rPr>
      <w:sz w:val="18"/>
      <w:szCs w:val="18"/>
    </w:rPr>
  </w:style>
  <w:style w:type="character" w:customStyle="1" w:styleId="18">
    <w:name w:val="font31"/>
    <w:basedOn w:val="8"/>
    <w:qFormat/>
    <w:uiPriority w:val="0"/>
    <w:rPr>
      <w:rFonts w:hint="eastAsia" w:ascii="宋体" w:hAnsi="宋体" w:eastAsia="宋体" w:cs="宋体"/>
      <w:color w:val="FF0000"/>
      <w:sz w:val="20"/>
      <w:szCs w:val="20"/>
      <w:u w:val="none"/>
    </w:rPr>
  </w:style>
  <w:style w:type="character" w:customStyle="1" w:styleId="19">
    <w:name w:val="font61"/>
    <w:basedOn w:val="8"/>
    <w:qFormat/>
    <w:uiPriority w:val="0"/>
    <w:rPr>
      <w:rFonts w:hint="eastAsia" w:ascii="宋体" w:hAnsi="宋体" w:eastAsia="宋体" w:cs="宋体"/>
      <w:strike/>
      <w:color w:val="000000"/>
      <w:sz w:val="20"/>
      <w:szCs w:val="20"/>
    </w:rPr>
  </w:style>
  <w:style w:type="character" w:customStyle="1" w:styleId="20">
    <w:name w:val="font71"/>
    <w:basedOn w:val="8"/>
    <w:qFormat/>
    <w:uiPriority w:val="0"/>
    <w:rPr>
      <w:rFonts w:hint="eastAsia" w:ascii="宋体" w:hAnsi="宋体" w:eastAsia="宋体" w:cs="宋体"/>
      <w:strike/>
      <w:color w:val="000000"/>
      <w:sz w:val="18"/>
      <w:szCs w:val="18"/>
    </w:rPr>
  </w:style>
  <w:style w:type="character" w:customStyle="1" w:styleId="21">
    <w:name w:val="font41"/>
    <w:basedOn w:val="8"/>
    <w:qFormat/>
    <w:uiPriority w:val="0"/>
    <w:rPr>
      <w:rFonts w:hint="eastAsia" w:ascii="宋体" w:hAnsi="宋体" w:eastAsia="宋体" w:cs="宋体"/>
      <w:color w:val="FF0000"/>
      <w:sz w:val="18"/>
      <w:szCs w:val="18"/>
      <w:u w:val="none"/>
    </w:rPr>
  </w:style>
  <w:style w:type="character" w:customStyle="1" w:styleId="22">
    <w:name w:val="font21"/>
    <w:basedOn w:val="8"/>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62580-E61D-4CE9-B37F-6AA625D60DC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6417</Words>
  <Characters>6745</Characters>
  <Lines>69</Lines>
  <Paragraphs>19</Paragraphs>
  <TotalTime>3</TotalTime>
  <ScaleCrop>false</ScaleCrop>
  <LinksUpToDate>false</LinksUpToDate>
  <CharactersWithSpaces>7853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2021-12-17T01:13:00Z</dcterms:created>
  <dc:creator>黄江林</dc:creator>
  <cp:lastModifiedBy>HLA---</cp:lastModifiedBy>
  <cp:lastPrinted>2022-09-23T01:02:00Z</cp:lastPrinted>
  <dcterms:modified xsi:type="dcterms:W3CDTF">2023-11-15T03:59:50Z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8DD36575A4FC4ECDA91F9275D4506284</vt:lpwstr>
  </property>
</Properties>
</file>